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仿宋" w:eastAsia="黑体"/>
          <w:sz w:val="32"/>
          <w:szCs w:val="32"/>
        </w:rPr>
      </w:pPr>
      <w:r>
        <w:rPr>
          <w:rFonts w:hint="eastAsia" w:ascii="黑体" w:hAnsi="仿宋" w:eastAsia="黑体" w:cs="仿宋"/>
          <w:sz w:val="32"/>
          <w:szCs w:val="32"/>
        </w:rPr>
        <w:t>附件1</w:t>
      </w:r>
    </w:p>
    <w:p>
      <w:pPr>
        <w:spacing w:line="400" w:lineRule="exact"/>
        <w:ind w:left="-7" w:leftChars="-100" w:right="-208" w:rightChars="-99" w:hanging="203" w:hangingChars="56"/>
        <w:rPr>
          <w:rFonts w:hint="eastAsia" w:ascii="方正小标宋简体" w:hAnsi="仿宋" w:eastAsia="方正小标宋简体" w:cs="仿宋"/>
          <w:spacing w:val="-8"/>
          <w:sz w:val="38"/>
          <w:szCs w:val="38"/>
        </w:rPr>
      </w:pPr>
      <w:r>
        <w:rPr>
          <w:rFonts w:hint="eastAsia" w:ascii="方正小标宋简体" w:hAnsi="华文中宋" w:eastAsia="方正小标宋简体"/>
          <w:spacing w:val="-8"/>
          <w:sz w:val="38"/>
          <w:szCs w:val="38"/>
          <w:lang w:eastAsia="zh-CN"/>
        </w:rPr>
        <w:t>2025</w:t>
      </w:r>
      <w:r>
        <w:rPr>
          <w:rFonts w:hint="eastAsia" w:ascii="方正小标宋简体" w:hAnsi="华文中宋" w:eastAsia="方正小标宋简体"/>
          <w:spacing w:val="-8"/>
          <w:sz w:val="38"/>
          <w:szCs w:val="38"/>
        </w:rPr>
        <w:t>年上海市成人高校招生章程核准备案表（正表）</w:t>
      </w:r>
    </w:p>
    <w:tbl>
      <w:tblPr>
        <w:tblStyle w:val="7"/>
        <w:tblpPr w:leftFromText="180" w:rightFromText="180" w:vertAnchor="text" w:horzAnchor="margin" w:tblpXSpec="center" w:tblpY="125"/>
        <w:tblW w:w="10006" w:type="dxa"/>
        <w:jc w:val="center"/>
        <w:tblInd w:w="0" w:type="dxa"/>
        <w:tblLayout w:type="fixed"/>
        <w:tblCellMar>
          <w:top w:w="0" w:type="dxa"/>
          <w:left w:w="108" w:type="dxa"/>
          <w:bottom w:w="0" w:type="dxa"/>
          <w:right w:w="108" w:type="dxa"/>
        </w:tblCellMar>
      </w:tblPr>
      <w:tblGrid>
        <w:gridCol w:w="1755"/>
        <w:gridCol w:w="1895"/>
        <w:gridCol w:w="6356"/>
      </w:tblGrid>
      <w:tr>
        <w:tblPrEx>
          <w:tblLayout w:type="fixed"/>
          <w:tblCellMar>
            <w:top w:w="0" w:type="dxa"/>
            <w:left w:w="108" w:type="dxa"/>
            <w:bottom w:w="0" w:type="dxa"/>
            <w:right w:w="108" w:type="dxa"/>
          </w:tblCellMar>
        </w:tblPrEx>
        <w:trPr>
          <w:trHeight w:val="593" w:hRule="atLeast"/>
          <w:jc w:val="center"/>
        </w:trPr>
        <w:tc>
          <w:tcPr>
            <w:tcW w:w="10006" w:type="dxa"/>
            <w:gridSpan w:val="3"/>
            <w:tcBorders>
              <w:top w:val="single" w:color="000000" w:sz="12" w:space="0"/>
              <w:left w:val="single" w:color="000000" w:sz="12" w:space="0"/>
              <w:bottom w:val="single" w:color="000000" w:sz="4" w:space="0"/>
              <w:right w:val="single" w:color="000000" w:sz="12" w:space="0"/>
            </w:tcBorders>
            <w:shd w:val="clear" w:color="auto" w:fill="auto"/>
            <w:vAlign w:val="center"/>
          </w:tcPr>
          <w:p>
            <w:pPr>
              <w:spacing w:line="380" w:lineRule="exact"/>
              <w:ind w:firstLine="560"/>
              <w:jc w:val="center"/>
              <w:rPr>
                <w:rFonts w:hint="eastAsia" w:ascii="楷体_GB2312" w:hAnsi="楷体_GB2312" w:eastAsia="楷体_GB2312"/>
                <w:sz w:val="28"/>
                <w:szCs w:val="28"/>
              </w:rPr>
            </w:pPr>
            <w:r>
              <w:rPr>
                <w:rFonts w:hint="eastAsia" w:ascii="楷体_GB2312" w:hAnsi="楷体_GB2312" w:eastAsia="楷体_GB2312"/>
                <w:sz w:val="28"/>
                <w:szCs w:val="28"/>
                <w:lang w:eastAsia="zh-CN"/>
              </w:rPr>
              <w:t>2025</w:t>
            </w:r>
            <w:r>
              <w:rPr>
                <w:rFonts w:ascii="楷体_GB2312" w:hAnsi="楷体_GB2312" w:eastAsia="楷体_GB2312"/>
                <w:sz w:val="28"/>
                <w:szCs w:val="28"/>
              </w:rPr>
              <w:t>年上海市成人高等学校全国统考招生章程</w:t>
            </w:r>
          </w:p>
        </w:tc>
      </w:tr>
      <w:tr>
        <w:tblPrEx>
          <w:tblLayout w:type="fixed"/>
          <w:tblCellMar>
            <w:top w:w="0" w:type="dxa"/>
            <w:left w:w="108" w:type="dxa"/>
            <w:bottom w:w="0" w:type="dxa"/>
            <w:right w:w="108" w:type="dxa"/>
          </w:tblCellMar>
        </w:tblPrEx>
        <w:trPr>
          <w:trHeight w:val="440" w:hRule="atLeast"/>
          <w:jc w:val="center"/>
        </w:trPr>
        <w:tc>
          <w:tcPr>
            <w:tcW w:w="3650"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一、院校全称</w:t>
            </w:r>
          </w:p>
        </w:tc>
        <w:tc>
          <w:tcPr>
            <w:tcW w:w="6356" w:type="dxa"/>
            <w:tcBorders>
              <w:top w:val="single" w:color="000000" w:sz="12" w:space="0"/>
              <w:left w:val="single" w:color="000000" w:sz="4" w:space="0"/>
              <w:bottom w:val="single" w:color="000000" w:sz="4" w:space="0"/>
              <w:right w:val="single" w:color="000000" w:sz="12" w:space="0"/>
            </w:tcBorders>
            <w:shd w:val="clear" w:color="auto" w:fill="auto"/>
            <w:vAlign w:val="center"/>
          </w:tcPr>
          <w:p>
            <w:pPr>
              <w:spacing w:line="420" w:lineRule="exact"/>
              <w:jc w:val="center"/>
              <w:rPr>
                <w:rFonts w:hint="eastAsia" w:ascii="宋体" w:hAnsi="宋体" w:eastAsia="宋体"/>
                <w:sz w:val="30"/>
                <w:szCs w:val="30"/>
              </w:rPr>
            </w:pPr>
            <w:r>
              <w:rPr>
                <w:rFonts w:ascii="宋体" w:hAnsi="宋体" w:eastAsia="宋体"/>
                <w:color w:val="000000"/>
                <w:sz w:val="30"/>
                <w:szCs w:val="30"/>
              </w:rPr>
              <w:t>上海行健职业学院</w:t>
            </w:r>
          </w:p>
        </w:tc>
      </w:tr>
      <w:tr>
        <w:tblPrEx>
          <w:tblLayout w:type="fixed"/>
          <w:tblCellMar>
            <w:top w:w="0" w:type="dxa"/>
            <w:left w:w="108" w:type="dxa"/>
            <w:bottom w:w="0" w:type="dxa"/>
            <w:right w:w="108" w:type="dxa"/>
          </w:tblCellMar>
        </w:tblPrEx>
        <w:trPr>
          <w:trHeight w:val="545"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二、就读校址</w:t>
            </w:r>
          </w:p>
        </w:tc>
        <w:tc>
          <w:tcPr>
            <w:tcW w:w="6356" w:type="dxa"/>
            <w:tcBorders>
              <w:top w:val="single" w:color="000000" w:sz="4" w:space="0"/>
              <w:left w:val="single" w:color="000000" w:sz="4" w:space="0"/>
              <w:bottom w:val="single" w:color="000000" w:sz="4" w:space="0"/>
              <w:right w:val="single" w:color="000000" w:sz="12" w:space="0"/>
            </w:tcBorders>
            <w:shd w:val="clear" w:color="auto" w:fill="auto"/>
          </w:tcPr>
          <w:p>
            <w:pPr>
              <w:spacing w:line="420" w:lineRule="exact"/>
              <w:rPr>
                <w:rFonts w:hint="eastAsia" w:ascii="宋体" w:hAnsi="宋体" w:eastAsia="宋体"/>
                <w:szCs w:val="21"/>
              </w:rPr>
            </w:pPr>
            <w:r>
              <w:rPr>
                <w:rFonts w:ascii="宋体" w:hAnsi="宋体" w:eastAsia="宋体"/>
                <w:color w:val="000000"/>
                <w:szCs w:val="21"/>
              </w:rPr>
              <w:t>1.本部:上海市静安区原平路55号;</w:t>
            </w:r>
          </w:p>
          <w:p>
            <w:pPr>
              <w:spacing w:line="420" w:lineRule="exact"/>
              <w:rPr>
                <w:rFonts w:hint="eastAsia" w:ascii="宋体" w:hAnsi="宋体" w:eastAsia="宋体"/>
                <w:szCs w:val="21"/>
              </w:rPr>
            </w:pPr>
            <w:r>
              <w:rPr>
                <w:rFonts w:ascii="宋体" w:hAnsi="宋体" w:eastAsia="宋体"/>
                <w:color w:val="000000"/>
                <w:szCs w:val="21"/>
              </w:rPr>
              <w:t>2.</w:t>
            </w:r>
            <w:r>
              <w:rPr>
                <w:rFonts w:hint="eastAsia" w:ascii="宋体" w:hAnsi="宋体" w:eastAsia="宋体"/>
                <w:color w:val="000000"/>
                <w:szCs w:val="21"/>
              </w:rPr>
              <w:t>静安计算机信息学院</w:t>
            </w:r>
            <w:r>
              <w:rPr>
                <w:rFonts w:ascii="宋体" w:hAnsi="宋体" w:eastAsia="宋体"/>
                <w:color w:val="000000"/>
                <w:szCs w:val="21"/>
              </w:rPr>
              <w:t>教学点:上海市静安区康定路987号</w:t>
            </w:r>
            <w:r>
              <w:rPr>
                <w:rFonts w:hint="eastAsia" w:ascii="宋体" w:hAnsi="宋体" w:eastAsia="宋体"/>
                <w:color w:val="000000"/>
                <w:szCs w:val="21"/>
              </w:rPr>
              <w:t>2</w:t>
            </w:r>
            <w:r>
              <w:rPr>
                <w:rFonts w:ascii="宋体" w:hAnsi="宋体" w:eastAsia="宋体"/>
                <w:color w:val="000000"/>
                <w:szCs w:val="21"/>
              </w:rPr>
              <w:t>-4</w:t>
            </w:r>
            <w:r>
              <w:rPr>
                <w:rFonts w:hint="eastAsia" w:ascii="宋体" w:hAnsi="宋体" w:eastAsia="宋体"/>
                <w:color w:val="000000"/>
                <w:szCs w:val="21"/>
              </w:rPr>
              <w:t>层</w:t>
            </w:r>
            <w:r>
              <w:rPr>
                <w:rFonts w:ascii="宋体" w:hAnsi="宋体" w:eastAsia="宋体"/>
                <w:color w:val="000000"/>
                <w:szCs w:val="21"/>
              </w:rPr>
              <w:t>;</w:t>
            </w:r>
          </w:p>
          <w:p>
            <w:pPr>
              <w:spacing w:line="420" w:lineRule="exact"/>
              <w:rPr>
                <w:rFonts w:hint="eastAsia" w:ascii="宋体" w:hAnsi="宋体" w:eastAsia="宋体"/>
                <w:szCs w:val="21"/>
              </w:rPr>
            </w:pPr>
            <w:r>
              <w:rPr>
                <w:rFonts w:ascii="宋体" w:hAnsi="宋体" w:eastAsia="宋体"/>
                <w:color w:val="000000"/>
                <w:szCs w:val="21"/>
              </w:rPr>
              <w:t>3.</w:t>
            </w:r>
            <w:r>
              <w:rPr>
                <w:rFonts w:hint="eastAsia" w:ascii="宋体" w:hAnsi="宋体" w:eastAsia="宋体"/>
                <w:color w:val="000000"/>
                <w:szCs w:val="21"/>
              </w:rPr>
              <w:t>徐汇</w:t>
            </w:r>
            <w:r>
              <w:rPr>
                <w:rFonts w:ascii="宋体" w:hAnsi="宋体" w:eastAsia="宋体"/>
                <w:color w:val="000000"/>
                <w:szCs w:val="21"/>
              </w:rPr>
              <w:t>磐水教学点:上海市徐汇区龙漕路1弄7号</w:t>
            </w:r>
            <w:r>
              <w:rPr>
                <w:rFonts w:hint="eastAsia" w:ascii="宋体" w:hAnsi="宋体" w:eastAsia="宋体"/>
                <w:color w:val="000000"/>
                <w:szCs w:val="21"/>
              </w:rPr>
              <w:t>3</w:t>
            </w:r>
            <w:r>
              <w:rPr>
                <w:rFonts w:ascii="宋体" w:hAnsi="宋体" w:eastAsia="宋体"/>
                <w:color w:val="000000"/>
                <w:szCs w:val="21"/>
              </w:rPr>
              <w:t>楼;</w:t>
            </w:r>
          </w:p>
          <w:p>
            <w:pPr>
              <w:spacing w:line="420" w:lineRule="exact"/>
              <w:rPr>
                <w:rFonts w:hint="eastAsia" w:ascii="宋体" w:hAnsi="宋体" w:eastAsia="宋体"/>
                <w:szCs w:val="21"/>
              </w:rPr>
            </w:pPr>
            <w:r>
              <w:rPr>
                <w:rFonts w:ascii="宋体" w:hAnsi="宋体" w:eastAsia="宋体"/>
                <w:color w:val="000000"/>
                <w:szCs w:val="21"/>
              </w:rPr>
              <w:t>4.金山浦江商务教学点:上海市金山区</w:t>
            </w:r>
            <w:r>
              <w:rPr>
                <w:rFonts w:hint="eastAsia" w:ascii="宋体" w:hAnsi="宋体" w:eastAsia="宋体"/>
                <w:color w:val="000000"/>
                <w:szCs w:val="21"/>
              </w:rPr>
              <w:t>施三路8号1</w:t>
            </w:r>
            <w:r>
              <w:rPr>
                <w:rFonts w:ascii="宋体" w:hAnsi="宋体" w:eastAsia="宋体"/>
                <w:color w:val="000000"/>
                <w:szCs w:val="21"/>
              </w:rPr>
              <w:t>01-112</w:t>
            </w:r>
            <w:r>
              <w:rPr>
                <w:rFonts w:hint="eastAsia" w:ascii="宋体" w:hAnsi="宋体" w:eastAsia="宋体"/>
                <w:color w:val="000000"/>
                <w:szCs w:val="21"/>
              </w:rPr>
              <w:t>室</w:t>
            </w:r>
            <w:r>
              <w:rPr>
                <w:rFonts w:ascii="宋体" w:hAnsi="宋体" w:eastAsia="宋体"/>
                <w:color w:val="000000"/>
                <w:szCs w:val="21"/>
              </w:rPr>
              <w:t>;</w:t>
            </w:r>
          </w:p>
        </w:tc>
      </w:tr>
      <w:tr>
        <w:tblPrEx>
          <w:tblLayout w:type="fixed"/>
          <w:tblCellMar>
            <w:top w:w="0" w:type="dxa"/>
            <w:left w:w="108" w:type="dxa"/>
            <w:bottom w:w="0" w:type="dxa"/>
            <w:right w:w="108" w:type="dxa"/>
          </w:tblCellMar>
        </w:tblPrEx>
        <w:trPr>
          <w:trHeight w:val="550"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三、层次</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rPr>
                <w:rFonts w:hint="eastAsia" w:ascii="仿宋_GB2312" w:hAnsi="仿宋_GB2312" w:eastAsia="仿宋_GB2312"/>
                <w:sz w:val="28"/>
                <w:szCs w:val="28"/>
              </w:rPr>
            </w:pPr>
            <w:r>
              <w:rPr>
                <w:rFonts w:ascii="宋体" w:hAnsi="宋体" w:eastAsia="宋体"/>
                <w:szCs w:val="21"/>
              </w:rPr>
              <w:t xml:space="preserve">□ 本科   </w:t>
            </w:r>
            <w:r>
              <w:rPr>
                <w:rFonts w:hint="eastAsia" w:ascii="宋体" w:hAnsi="宋体" w:eastAsia="宋体"/>
                <w:szCs w:val="21"/>
              </w:rPr>
              <w:t>▉</w:t>
            </w:r>
            <w:r>
              <w:rPr>
                <w:rFonts w:ascii="宋体" w:hAnsi="宋体" w:eastAsia="宋体"/>
                <w:szCs w:val="21"/>
              </w:rPr>
              <w:t>专科</w:t>
            </w:r>
          </w:p>
        </w:tc>
      </w:tr>
      <w:tr>
        <w:tblPrEx>
          <w:tblLayout w:type="fixed"/>
          <w:tblCellMar>
            <w:top w:w="0" w:type="dxa"/>
            <w:left w:w="108" w:type="dxa"/>
            <w:bottom w:w="0" w:type="dxa"/>
            <w:right w:w="108" w:type="dxa"/>
          </w:tblCellMar>
        </w:tblPrEx>
        <w:trPr>
          <w:trHeight w:val="731"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四、办学类型</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rPr>
                <w:rFonts w:hint="eastAsia" w:ascii="宋体" w:hAnsi="宋体" w:eastAsia="宋体"/>
                <w:szCs w:val="21"/>
              </w:rPr>
            </w:pPr>
            <w:r>
              <w:rPr>
                <w:rFonts w:ascii="宋体" w:hAnsi="宋体" w:eastAsia="宋体"/>
                <w:szCs w:val="21"/>
              </w:rPr>
              <w:t xml:space="preserve">□ 普通高等学校  </w:t>
            </w:r>
            <w:r>
              <w:rPr>
                <w:rFonts w:hint="eastAsia" w:ascii="宋体" w:hAnsi="宋体" w:eastAsia="宋体"/>
                <w:szCs w:val="21"/>
              </w:rPr>
              <w:t>▉</w:t>
            </w:r>
            <w:r>
              <w:rPr>
                <w:rFonts w:ascii="宋体" w:hAnsi="宋体" w:eastAsia="宋体"/>
                <w:szCs w:val="21"/>
              </w:rPr>
              <w:t>成人高等学校</w:t>
            </w:r>
          </w:p>
          <w:p>
            <w:pPr>
              <w:spacing w:line="420" w:lineRule="exact"/>
              <w:rPr>
                <w:rFonts w:hint="eastAsia" w:ascii="宋体" w:hAnsi="宋体" w:eastAsia="宋体"/>
                <w:szCs w:val="21"/>
              </w:rPr>
            </w:pPr>
            <w:r>
              <w:rPr>
                <w:rFonts w:hint="eastAsia" w:ascii="宋体" w:hAnsi="宋体" w:eastAsia="宋体"/>
                <w:szCs w:val="21"/>
              </w:rPr>
              <w:t xml:space="preserve">▉ </w:t>
            </w:r>
            <w:r>
              <w:rPr>
                <w:rFonts w:ascii="宋体" w:hAnsi="宋体" w:eastAsia="宋体"/>
                <w:szCs w:val="21"/>
              </w:rPr>
              <w:t xml:space="preserve"> 公办高等学校 □ 民办高等学校 □ 独立学院 </w:t>
            </w:r>
          </w:p>
          <w:p>
            <w:pPr>
              <w:spacing w:line="420" w:lineRule="exact"/>
              <w:rPr>
                <w:rFonts w:hint="eastAsia" w:ascii="仿宋_GB2312" w:hAnsi="仿宋_GB2312" w:eastAsia="仿宋_GB2312"/>
                <w:sz w:val="28"/>
                <w:szCs w:val="28"/>
              </w:rPr>
            </w:pPr>
            <w:r>
              <w:rPr>
                <w:rFonts w:ascii="宋体" w:hAnsi="宋体" w:eastAsia="宋体"/>
                <w:szCs w:val="21"/>
              </w:rPr>
              <w:t xml:space="preserve">□ 高等专科学校  </w:t>
            </w:r>
            <w:r>
              <w:rPr>
                <w:rFonts w:hint="eastAsia" w:ascii="宋体" w:hAnsi="宋体" w:eastAsia="宋体"/>
                <w:szCs w:val="21"/>
              </w:rPr>
              <w:t>▉</w:t>
            </w:r>
            <w:r>
              <w:rPr>
                <w:rFonts w:ascii="宋体" w:hAnsi="宋体" w:eastAsia="宋体"/>
                <w:szCs w:val="21"/>
              </w:rPr>
              <w:t>高等职业技术学校</w:t>
            </w:r>
          </w:p>
        </w:tc>
      </w:tr>
      <w:tr>
        <w:tblPrEx>
          <w:tblLayout w:type="fixed"/>
          <w:tblCellMar>
            <w:top w:w="0" w:type="dxa"/>
            <w:left w:w="108" w:type="dxa"/>
            <w:bottom w:w="0" w:type="dxa"/>
            <w:right w:w="108" w:type="dxa"/>
          </w:tblCellMar>
        </w:tblPrEx>
        <w:trPr>
          <w:trHeight w:val="670" w:hRule="atLeast"/>
          <w:jc w:val="center"/>
        </w:trPr>
        <w:tc>
          <w:tcPr>
            <w:tcW w:w="1755"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五、颁发学历证书的院校名称及证书种类</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hint="eastAsia" w:ascii="仿宋_GB2312" w:hAnsi="仿宋_GB2312" w:eastAsia="仿宋_GB2312"/>
                <w:b/>
                <w:w w:val="90"/>
                <w:sz w:val="28"/>
                <w:szCs w:val="28"/>
              </w:rPr>
            </w:pPr>
            <w:r>
              <w:rPr>
                <w:rFonts w:ascii="仿宋_GB2312" w:hAnsi="仿宋_GB2312" w:eastAsia="仿宋_GB2312"/>
                <w:b/>
                <w:w w:val="90"/>
                <w:sz w:val="28"/>
                <w:szCs w:val="28"/>
              </w:rPr>
              <w:t>院校名称</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jc w:val="center"/>
              <w:rPr>
                <w:rFonts w:hint="eastAsia" w:ascii="仿宋_GB2312" w:hAnsi="仿宋_GB2312" w:eastAsia="仿宋_GB2312"/>
                <w:sz w:val="28"/>
                <w:szCs w:val="28"/>
              </w:rPr>
            </w:pPr>
            <w:r>
              <w:rPr>
                <w:rFonts w:ascii="宋体" w:hAnsi="宋体" w:eastAsia="宋体"/>
                <w:color w:val="000000"/>
                <w:szCs w:val="21"/>
              </w:rPr>
              <w:t>上海行健职业学院</w:t>
            </w:r>
          </w:p>
        </w:tc>
      </w:tr>
      <w:tr>
        <w:tblPrEx>
          <w:tblLayout w:type="fixed"/>
          <w:tblCellMar>
            <w:top w:w="0" w:type="dxa"/>
            <w:left w:w="108" w:type="dxa"/>
            <w:bottom w:w="0" w:type="dxa"/>
            <w:right w:w="108" w:type="dxa"/>
          </w:tblCellMar>
        </w:tblPrEx>
        <w:trPr>
          <w:trHeight w:val="739" w:hRule="atLeast"/>
          <w:jc w:val="center"/>
        </w:trPr>
        <w:tc>
          <w:tcPr>
            <w:tcW w:w="1755"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hint="eastAsia" w:ascii="仿宋_GB2312" w:hAnsi="仿宋_GB2312" w:eastAsia="仿宋_GB2312"/>
                <w:b/>
                <w:w w:val="90"/>
                <w:sz w:val="28"/>
                <w:szCs w:val="28"/>
              </w:rPr>
            </w:pPr>
            <w:r>
              <w:rPr>
                <w:rFonts w:ascii="仿宋_GB2312" w:hAnsi="仿宋_GB2312" w:eastAsia="仿宋_GB2312"/>
                <w:b/>
                <w:w w:val="90"/>
                <w:sz w:val="28"/>
                <w:szCs w:val="28"/>
              </w:rPr>
              <w:t>证书种类</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360" w:lineRule="exact"/>
              <w:rPr>
                <w:rFonts w:hint="eastAsia" w:ascii="宋体" w:hAnsi="宋体" w:eastAsia="仿宋_GB2312"/>
                <w:b/>
                <w:color w:val="000000"/>
                <w:sz w:val="20"/>
                <w:szCs w:val="28"/>
              </w:rPr>
            </w:pPr>
            <w:r>
              <w:rPr>
                <w:rFonts w:ascii="宋体" w:hAnsi="宋体" w:eastAsia="宋体"/>
                <w:color w:val="000000"/>
                <w:szCs w:val="21"/>
              </w:rPr>
              <w:t>修学期满，符合毕业要求，颁发上海行健职业学院</w:t>
            </w:r>
            <w:r>
              <w:rPr>
                <w:rFonts w:hint="eastAsia" w:ascii="宋体" w:hAnsi="宋体" w:eastAsia="宋体"/>
                <w:color w:val="000000"/>
                <w:szCs w:val="21"/>
              </w:rPr>
              <w:t>的</w:t>
            </w:r>
            <w:r>
              <w:rPr>
                <w:rFonts w:ascii="宋体" w:hAnsi="宋体" w:eastAsia="宋体"/>
                <w:color w:val="000000"/>
                <w:szCs w:val="21"/>
              </w:rPr>
              <w:t>专科成人高等教育毕业证书</w:t>
            </w:r>
            <w:r>
              <w:rPr>
                <w:rFonts w:hint="eastAsia" w:ascii="宋体" w:hAnsi="宋体" w:eastAsia="宋体"/>
                <w:color w:val="000000"/>
                <w:szCs w:val="21"/>
              </w:rPr>
              <w:t>。</w:t>
            </w:r>
          </w:p>
        </w:tc>
      </w:tr>
      <w:tr>
        <w:tblPrEx>
          <w:tblLayout w:type="fixed"/>
          <w:tblCellMar>
            <w:top w:w="0" w:type="dxa"/>
            <w:left w:w="108" w:type="dxa"/>
            <w:bottom w:w="0" w:type="dxa"/>
            <w:right w:w="108" w:type="dxa"/>
          </w:tblCellMar>
        </w:tblPrEx>
        <w:trPr>
          <w:trHeight w:val="1257"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六、院校招生管理机构</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rPr>
                <w:rFonts w:hint="eastAsia" w:ascii="仿宋_GB2312" w:hAnsi="仿宋_GB2312" w:eastAsia="仿宋_GB2312"/>
                <w:sz w:val="28"/>
                <w:szCs w:val="28"/>
              </w:rPr>
            </w:pPr>
            <w:r>
              <w:rPr>
                <w:rFonts w:ascii="宋体" w:hAnsi="宋体" w:eastAsia="宋体"/>
                <w:color w:val="000000"/>
                <w:szCs w:val="21"/>
              </w:rPr>
              <w:t>招生工作领导小组是我校招生工作的最高决策机构,统一领导学校招生工作；招生办公室是我校组织和实施招生工作的常设机构，负责学校招生日常工作；招生监察小组是我校招生工作纪检监察机构。</w:t>
            </w:r>
          </w:p>
        </w:tc>
      </w:tr>
      <w:tr>
        <w:tblPrEx>
          <w:tblLayout w:type="fixed"/>
          <w:tblCellMar>
            <w:top w:w="0" w:type="dxa"/>
            <w:left w:w="108" w:type="dxa"/>
            <w:bottom w:w="0" w:type="dxa"/>
            <w:right w:w="108" w:type="dxa"/>
          </w:tblCellMar>
        </w:tblPrEx>
        <w:trPr>
          <w:trHeight w:val="930"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七、招生专业及说明</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560" w:lineRule="exact"/>
              <w:rPr>
                <w:rFonts w:hint="eastAsia" w:ascii="楷体_GB2312" w:hAnsi="楷体_GB2312" w:eastAsia="楷体_GB2312"/>
                <w:sz w:val="28"/>
                <w:szCs w:val="28"/>
              </w:rPr>
            </w:pPr>
            <w:r>
              <w:rPr>
                <w:rFonts w:ascii="宋体" w:hAnsi="宋体" w:eastAsia="宋体" w:cs="仿宋"/>
                <w:szCs w:val="21"/>
              </w:rPr>
              <w:t>具体见附表一</w:t>
            </w:r>
          </w:p>
        </w:tc>
      </w:tr>
      <w:tr>
        <w:tblPrEx>
          <w:tblLayout w:type="fixed"/>
          <w:tblCellMar>
            <w:top w:w="0" w:type="dxa"/>
            <w:left w:w="108" w:type="dxa"/>
            <w:bottom w:w="0" w:type="dxa"/>
            <w:right w:w="108" w:type="dxa"/>
          </w:tblCellMar>
        </w:tblPrEx>
        <w:trPr>
          <w:trHeight w:val="600"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八、学习形式</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rPr>
                <w:rFonts w:hint="default" w:ascii="宋体" w:hAnsi="宋体" w:eastAsia="宋体"/>
                <w:szCs w:val="21"/>
                <w:lang w:val="en-US" w:eastAsia="zh-CN"/>
              </w:rPr>
            </w:pPr>
            <w:r>
              <w:rPr>
                <w:rFonts w:ascii="宋体" w:hAnsi="宋体" w:eastAsia="宋体"/>
                <w:szCs w:val="21"/>
              </w:rPr>
              <w:t xml:space="preserve"> □ 脱产</w:t>
            </w:r>
            <w:r>
              <w:rPr>
                <w:rFonts w:hint="eastAsia" w:ascii="宋体" w:hAnsi="宋体" w:eastAsia="宋体"/>
                <w:szCs w:val="21"/>
                <w:lang w:val="en-US" w:eastAsia="zh-CN"/>
              </w:rPr>
              <w:t xml:space="preserve"> </w:t>
            </w:r>
            <w:r>
              <w:rPr>
                <w:rFonts w:ascii="宋体" w:hAnsi="宋体" w:eastAsia="宋体"/>
                <w:szCs w:val="21"/>
              </w:rPr>
              <w:t xml:space="preserve"> </w:t>
            </w: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lang w:val="en-US" w:eastAsia="zh-CN"/>
              </w:rPr>
              <w:t>非脱产</w:t>
            </w:r>
          </w:p>
        </w:tc>
      </w:tr>
      <w:tr>
        <w:tblPrEx>
          <w:tblLayout w:type="fixed"/>
          <w:tblCellMar>
            <w:top w:w="0" w:type="dxa"/>
            <w:left w:w="108" w:type="dxa"/>
            <w:bottom w:w="0" w:type="dxa"/>
            <w:right w:w="108" w:type="dxa"/>
          </w:tblCellMar>
        </w:tblPrEx>
        <w:trPr>
          <w:trHeight w:val="570"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九、学制与年限</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rPr>
                <w:rFonts w:hint="eastAsia" w:ascii="宋体" w:hAnsi="宋体" w:eastAsia="宋体"/>
                <w:szCs w:val="21"/>
              </w:rPr>
            </w:pPr>
            <w:r>
              <w:rPr>
                <w:rFonts w:ascii="宋体" w:hAnsi="宋体" w:eastAsia="宋体"/>
                <w:color w:val="333333"/>
                <w:szCs w:val="21"/>
              </w:rPr>
              <w:t>学制：3年；最低</w:t>
            </w:r>
            <w:r>
              <w:rPr>
                <w:rFonts w:hint="eastAsia" w:ascii="宋体" w:hAnsi="宋体" w:eastAsia="宋体"/>
                <w:color w:val="333333"/>
                <w:szCs w:val="21"/>
              </w:rPr>
              <w:t>修业</w:t>
            </w:r>
            <w:r>
              <w:rPr>
                <w:rFonts w:ascii="宋体" w:hAnsi="宋体" w:eastAsia="宋体"/>
                <w:color w:val="333333"/>
                <w:szCs w:val="21"/>
              </w:rPr>
              <w:t>年限：2.5年</w:t>
            </w:r>
            <w:r>
              <w:rPr>
                <w:rFonts w:hint="eastAsia" w:ascii="宋体" w:hAnsi="宋体" w:eastAsia="宋体"/>
                <w:color w:val="333333"/>
                <w:szCs w:val="21"/>
              </w:rPr>
              <w:t>。</w:t>
            </w:r>
          </w:p>
        </w:tc>
      </w:tr>
      <w:tr>
        <w:tblPrEx>
          <w:tblLayout w:type="fixed"/>
          <w:tblCellMar>
            <w:top w:w="0" w:type="dxa"/>
            <w:left w:w="108" w:type="dxa"/>
            <w:bottom w:w="0" w:type="dxa"/>
            <w:right w:w="108" w:type="dxa"/>
          </w:tblCellMar>
        </w:tblPrEx>
        <w:trPr>
          <w:trHeight w:val="1581"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十、身体健康状况要求</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rPr>
                <w:rFonts w:hint="eastAsia" w:ascii="宋体" w:hAnsi="宋体" w:eastAsia="宋体"/>
                <w:color w:val="333333"/>
                <w:szCs w:val="21"/>
              </w:rPr>
            </w:pPr>
          </w:p>
          <w:p>
            <w:pPr>
              <w:rPr>
                <w:rFonts w:hint="eastAsia" w:ascii="宋体" w:hAnsi="宋体" w:eastAsia="宋体"/>
                <w:color w:val="333333"/>
                <w:szCs w:val="21"/>
              </w:rPr>
            </w:pPr>
            <w:r>
              <w:rPr>
                <w:rFonts w:ascii="宋体" w:hAnsi="宋体" w:eastAsia="宋体"/>
                <w:color w:val="333333"/>
                <w:szCs w:val="21"/>
              </w:rPr>
              <w:t>以教育部、原卫生部和中国残疾人联合会印发的《普通高等学校招生体检工作指导意见》(教学〔2003〕3号)及有关补充规定为依据,考生须据实上报健康状况。经复查,身体健康状况不符合专业学习要求的考生,学校将按照教育部《普通高等学校学生管理规定》和本校学籍管理相关规定处理。</w:t>
            </w:r>
          </w:p>
          <w:p>
            <w:pPr>
              <w:rPr>
                <w:rFonts w:hint="eastAsia" w:ascii="宋体" w:hAnsi="宋体" w:eastAsia="宋体"/>
                <w:color w:val="333333"/>
                <w:szCs w:val="21"/>
              </w:rPr>
            </w:pPr>
          </w:p>
        </w:tc>
      </w:tr>
      <w:tr>
        <w:tblPrEx>
          <w:tblLayout w:type="fixed"/>
          <w:tblCellMar>
            <w:top w:w="0" w:type="dxa"/>
            <w:left w:w="108" w:type="dxa"/>
            <w:bottom w:w="0" w:type="dxa"/>
            <w:right w:w="108" w:type="dxa"/>
          </w:tblCellMar>
        </w:tblPrEx>
        <w:trPr>
          <w:trHeight w:val="1145" w:hRule="atLeast"/>
          <w:jc w:val="center"/>
        </w:trPr>
        <w:tc>
          <w:tcPr>
            <w:tcW w:w="3650" w:type="dxa"/>
            <w:gridSpan w:val="2"/>
            <w:tcBorders>
              <w:top w:val="single" w:color="000000" w:sz="4" w:space="0"/>
              <w:left w:val="single" w:color="000000" w:sz="12" w:space="0"/>
              <w:bottom w:val="single" w:color="000000" w:sz="6"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十一、录取规则</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ind w:firstLine="420" w:firstLineChars="200"/>
            </w:pPr>
            <w:r>
              <w:rPr>
                <w:rFonts w:hint="eastAsia" w:ascii="宋体" w:hAnsi="宋体" w:eastAsia="宋体" w:cs="宋体"/>
              </w:rPr>
              <w:t>根据上海市教育考试院有关成人高校招生录取规定的相关文件精神，为保证成人高考录取工作公平、公开、公正，现将录取原则公布如下：</w:t>
            </w:r>
          </w:p>
          <w:p>
            <w:r>
              <w:t>1</w:t>
            </w:r>
            <w:r>
              <w:rPr>
                <w:rFonts w:hint="eastAsia" w:ascii="宋体" w:hAnsi="宋体" w:eastAsia="宋体" w:cs="宋体"/>
              </w:rPr>
              <w:t>．对于参加全国成人高考并达到上海市成人高校招生最低录取控制分数线的考生，学校各专业录取严格按照志愿优先原则，按总分从高到低依次择优录取；成人高考总分相同时，高起专层次依次按照语文、数学、外语单科成绩从高分到低分录取；</w:t>
            </w:r>
          </w:p>
          <w:p>
            <w:r>
              <w:t>2</w:t>
            </w:r>
            <w:r>
              <w:rPr>
                <w:rFonts w:hint="eastAsia" w:ascii="宋体" w:hAnsi="宋体" w:eastAsia="宋体" w:cs="宋体"/>
              </w:rPr>
              <w:t>．当录取线上的人数超过该专业招生计划数或录取线上人数不能达到开班要求（原则上不足</w:t>
            </w:r>
            <w:r>
              <w:t>15</w:t>
            </w:r>
            <w:r>
              <w:rPr>
                <w:rFonts w:hint="eastAsia" w:ascii="宋体" w:hAnsi="宋体" w:eastAsia="宋体" w:cs="宋体"/>
              </w:rPr>
              <w:t>人），学校将根据考生填报的志愿信息，对未能录取的考生按顺序调剂至其他教学点或其他专业（不再征求考生意见）。如考生不愿调剂，学校将按退档处理；</w:t>
            </w:r>
          </w:p>
          <w:p>
            <w:r>
              <w:t>3</w:t>
            </w:r>
            <w:r>
              <w:rPr>
                <w:rFonts w:hint="eastAsia" w:ascii="宋体" w:hAnsi="宋体" w:eastAsia="宋体" w:cs="宋体"/>
              </w:rPr>
              <w:t>．在执行教育部核准的招生计划基础上，各专业招生人数将根据实际上线人数经批准后作适当调整；</w:t>
            </w:r>
          </w:p>
          <w:p>
            <w:r>
              <w:t>4</w:t>
            </w:r>
            <w:r>
              <w:rPr>
                <w:rFonts w:hint="eastAsia" w:ascii="宋体" w:hAnsi="宋体" w:eastAsia="宋体" w:cs="宋体"/>
              </w:rPr>
              <w:t>．录取方法和程序、免试条件及政策照顾加分，按照</w:t>
            </w:r>
            <w:r>
              <w:t xml:space="preserve"> </w:t>
            </w:r>
            <w:r>
              <w:rPr>
                <w:rFonts w:hint="eastAsia"/>
                <w:lang w:eastAsia="zh-CN"/>
              </w:rPr>
              <w:t>2025</w:t>
            </w:r>
            <w:r>
              <w:t xml:space="preserve"> </w:t>
            </w:r>
            <w:r>
              <w:rPr>
                <w:rFonts w:hint="eastAsia" w:ascii="宋体" w:hAnsi="宋体" w:eastAsia="宋体" w:cs="宋体"/>
              </w:rPr>
              <w:t>年上海市成人高校招生录取工作的规定执行。</w:t>
            </w:r>
          </w:p>
        </w:tc>
      </w:tr>
      <w:tr>
        <w:tblPrEx>
          <w:tblLayout w:type="fixed"/>
          <w:tblCellMar>
            <w:top w:w="0" w:type="dxa"/>
            <w:left w:w="108" w:type="dxa"/>
            <w:bottom w:w="0" w:type="dxa"/>
            <w:right w:w="108" w:type="dxa"/>
          </w:tblCellMar>
        </w:tblPrEx>
        <w:trPr>
          <w:trHeight w:val="515"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十二、学费标准</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rPr>
                <w:rFonts w:hint="eastAsia" w:ascii="宋体" w:hAnsi="宋体" w:eastAsia="宋体"/>
                <w:szCs w:val="21"/>
              </w:rPr>
            </w:pPr>
            <w:r>
              <w:rPr>
                <w:rFonts w:ascii="宋体" w:hAnsi="宋体" w:eastAsia="宋体"/>
                <w:szCs w:val="21"/>
              </w:rPr>
              <w:t>学费标准：按学分收费。一般专业 ：108元/学分，89学分，总学费9600元。（沪价行【2000】180号）</w:t>
            </w:r>
          </w:p>
        </w:tc>
      </w:tr>
      <w:tr>
        <w:tblPrEx>
          <w:tblLayout w:type="fixed"/>
          <w:tblCellMar>
            <w:top w:w="0" w:type="dxa"/>
            <w:left w:w="108" w:type="dxa"/>
            <w:bottom w:w="0" w:type="dxa"/>
            <w:right w:w="108" w:type="dxa"/>
          </w:tblCellMar>
        </w:tblPrEx>
        <w:trPr>
          <w:trHeight w:val="520"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十三、监督机制及举报电话</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rPr>
                <w:rFonts w:hint="eastAsia" w:ascii="宋体" w:hAnsi="宋体" w:eastAsia="宋体"/>
                <w:szCs w:val="21"/>
              </w:rPr>
            </w:pPr>
            <w:r>
              <w:rPr>
                <w:rFonts w:ascii="宋体" w:hAnsi="宋体" w:eastAsia="宋体"/>
                <w:szCs w:val="21"/>
              </w:rPr>
              <w:t>按照招生“阳光工程”的统一要求,我校</w:t>
            </w:r>
            <w:r>
              <w:rPr>
                <w:rFonts w:hint="eastAsia" w:ascii="宋体" w:hAnsi="宋体" w:eastAsia="宋体"/>
                <w:szCs w:val="21"/>
              </w:rPr>
              <w:t>成人</w:t>
            </w:r>
            <w:r>
              <w:rPr>
                <w:rFonts w:ascii="宋体" w:hAnsi="宋体" w:eastAsia="宋体"/>
                <w:szCs w:val="21"/>
              </w:rPr>
              <w:t>统一考试招生全程接受本校招生监察小组监督。</w:t>
            </w:r>
            <w:r>
              <w:rPr>
                <w:rFonts w:ascii="宋体" w:hAnsi="宋体" w:eastAsia="宋体"/>
                <w:szCs w:val="21"/>
              </w:rPr>
              <w:br w:type="textWrapping"/>
            </w:r>
            <w:r>
              <w:rPr>
                <w:rFonts w:ascii="宋体" w:hAnsi="宋体" w:eastAsia="宋体"/>
                <w:szCs w:val="21"/>
              </w:rPr>
              <w:t>举报电话:021-56958255</w:t>
            </w:r>
          </w:p>
        </w:tc>
      </w:tr>
      <w:tr>
        <w:tblPrEx>
          <w:tblLayout w:type="fixed"/>
          <w:tblCellMar>
            <w:top w:w="0" w:type="dxa"/>
            <w:left w:w="108" w:type="dxa"/>
            <w:bottom w:w="0" w:type="dxa"/>
            <w:right w:w="108" w:type="dxa"/>
          </w:tblCellMar>
        </w:tblPrEx>
        <w:trPr>
          <w:trHeight w:val="465" w:hRule="atLeast"/>
          <w:jc w:val="center"/>
        </w:trPr>
        <w:tc>
          <w:tcPr>
            <w:tcW w:w="365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十四、网址及联系电话</w:t>
            </w:r>
          </w:p>
        </w:tc>
        <w:tc>
          <w:tcPr>
            <w:tcW w:w="6356"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420" w:lineRule="exact"/>
              <w:rPr>
                <w:rFonts w:hint="eastAsia" w:ascii="宋体" w:hAnsi="宋体" w:eastAsia="宋体"/>
                <w:szCs w:val="21"/>
              </w:rPr>
            </w:pPr>
            <w:r>
              <w:rPr>
                <w:rFonts w:ascii="宋体" w:hAnsi="宋体" w:eastAsia="宋体"/>
                <w:szCs w:val="21"/>
              </w:rPr>
              <w:t>学校官网: http://www.shxj.edu.cn</w:t>
            </w:r>
            <w:r>
              <w:rPr>
                <w:rFonts w:ascii="宋体" w:hAnsi="宋体" w:eastAsia="宋体"/>
                <w:szCs w:val="21"/>
              </w:rPr>
              <w:br w:type="textWrapping"/>
            </w:r>
            <w:r>
              <w:rPr>
                <w:rFonts w:ascii="宋体" w:hAnsi="宋体" w:eastAsia="宋体"/>
                <w:szCs w:val="21"/>
              </w:rPr>
              <w:t>咨询电话:021-66771104</w:t>
            </w:r>
          </w:p>
        </w:tc>
      </w:tr>
      <w:tr>
        <w:tblPrEx>
          <w:tblLayout w:type="fixed"/>
          <w:tblCellMar>
            <w:top w:w="0" w:type="dxa"/>
            <w:left w:w="108" w:type="dxa"/>
            <w:bottom w:w="0" w:type="dxa"/>
            <w:right w:w="108" w:type="dxa"/>
          </w:tblCellMar>
        </w:tblPrEx>
        <w:trPr>
          <w:trHeight w:val="720" w:hRule="atLeast"/>
          <w:jc w:val="center"/>
        </w:trPr>
        <w:tc>
          <w:tcPr>
            <w:tcW w:w="365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spacing w:line="420" w:lineRule="exact"/>
              <w:rPr>
                <w:rFonts w:hint="eastAsia" w:ascii="仿宋_GB2312" w:hAnsi="仿宋_GB2312" w:eastAsia="仿宋_GB2312"/>
                <w:b/>
                <w:w w:val="90"/>
                <w:sz w:val="28"/>
                <w:szCs w:val="28"/>
              </w:rPr>
            </w:pPr>
            <w:r>
              <w:rPr>
                <w:rFonts w:ascii="仿宋_GB2312" w:hAnsi="仿宋_GB2312" w:eastAsia="仿宋_GB2312"/>
                <w:b/>
                <w:w w:val="90"/>
                <w:sz w:val="28"/>
                <w:szCs w:val="28"/>
              </w:rPr>
              <w:t>十五、其他须知</w:t>
            </w:r>
          </w:p>
        </w:tc>
        <w:tc>
          <w:tcPr>
            <w:tcW w:w="6356" w:type="dxa"/>
            <w:tcBorders>
              <w:top w:val="single" w:color="000000" w:sz="4" w:space="0"/>
              <w:left w:val="single" w:color="000000" w:sz="4" w:space="0"/>
              <w:bottom w:val="single" w:color="000000" w:sz="12" w:space="0"/>
              <w:right w:val="single" w:color="000000" w:sz="12" w:space="0"/>
            </w:tcBorders>
            <w:shd w:val="clear" w:color="auto" w:fill="auto"/>
            <w:vAlign w:val="center"/>
          </w:tcPr>
          <w:p>
            <w:pPr>
              <w:spacing w:line="420" w:lineRule="exact"/>
              <w:rPr>
                <w:rFonts w:hint="eastAsia" w:ascii="仿宋_GB2312" w:hAnsi="仿宋_GB2312" w:eastAsia="仿宋_GB2312"/>
                <w:sz w:val="28"/>
                <w:szCs w:val="28"/>
              </w:rPr>
            </w:pPr>
            <w:r>
              <w:rPr>
                <w:rFonts w:ascii="宋体" w:hAnsi="宋体" w:eastAsia="宋体"/>
                <w:szCs w:val="21"/>
              </w:rPr>
              <w:t>无</w:t>
            </w:r>
          </w:p>
        </w:tc>
      </w:tr>
    </w:tbl>
    <w:p>
      <w:pPr>
        <w:spacing w:line="400" w:lineRule="exact"/>
        <w:ind w:left="-43" w:hanging="272"/>
        <w:rPr>
          <w:rFonts w:hint="eastAsia" w:ascii="黑体" w:hAnsi="黑体" w:eastAsia="黑体" w:cs="仿宋"/>
          <w:sz w:val="32"/>
          <w:szCs w:val="32"/>
        </w:rPr>
      </w:pPr>
    </w:p>
    <w:p>
      <w:pPr>
        <w:spacing w:line="560" w:lineRule="exact"/>
        <w:rPr>
          <w:rFonts w:hint="eastAsia" w:ascii="黑体" w:hAnsi="黑体" w:eastAsia="黑体" w:cs="仿宋"/>
          <w:sz w:val="32"/>
          <w:szCs w:val="32"/>
        </w:rPr>
      </w:pPr>
      <w:r>
        <w:br w:type="page"/>
      </w:r>
    </w:p>
    <w:p>
      <w:pPr>
        <w:spacing w:line="400" w:lineRule="exact"/>
        <w:ind w:left="-43" w:hanging="272"/>
        <w:rPr>
          <w:rFonts w:hint="eastAsia" w:ascii="黑体" w:hAnsi="黑体" w:eastAsia="黑体" w:cs="仿宋"/>
          <w:sz w:val="32"/>
          <w:szCs w:val="32"/>
        </w:rPr>
      </w:pPr>
      <w:r>
        <w:rPr>
          <w:rFonts w:ascii="黑体" w:hAnsi="黑体" w:eastAsia="黑体" w:cs="仿宋"/>
          <w:sz w:val="32"/>
          <w:szCs w:val="32"/>
        </w:rPr>
        <w:t>附件2</w:t>
      </w:r>
    </w:p>
    <w:p>
      <w:pPr>
        <w:spacing w:line="400" w:lineRule="exact"/>
        <w:ind w:left="-43" w:hanging="272"/>
        <w:rPr>
          <w:rFonts w:hint="eastAsia" w:ascii="黑体" w:hAnsi="黑体" w:eastAsia="黑体" w:cs="仿宋"/>
          <w:sz w:val="32"/>
          <w:szCs w:val="32"/>
        </w:rPr>
      </w:pPr>
    </w:p>
    <w:p>
      <w:pPr>
        <w:spacing w:line="520" w:lineRule="exact"/>
        <w:ind w:left="-9" w:right="-418" w:hanging="306"/>
        <w:jc w:val="center"/>
        <w:rPr>
          <w:rFonts w:hint="eastAsia" w:ascii="方正小标宋简体" w:hAnsi="方正小标宋简体" w:eastAsia="方正小标宋简体" w:cs="仿宋"/>
          <w:spacing w:val="-10"/>
          <w:sz w:val="38"/>
          <w:szCs w:val="38"/>
        </w:rPr>
      </w:pPr>
      <w:r>
        <w:rPr>
          <w:rFonts w:hint="eastAsia" w:ascii="方正小标宋简体" w:hAnsi="方正小标宋简体" w:eastAsia="方正小标宋简体" w:cs="仿宋"/>
          <w:spacing w:val="-10"/>
          <w:sz w:val="38"/>
          <w:szCs w:val="38"/>
          <w:lang w:eastAsia="zh-CN"/>
        </w:rPr>
        <w:t>2025</w:t>
      </w:r>
      <w:r>
        <w:rPr>
          <w:rFonts w:ascii="方正小标宋简体" w:hAnsi="方正小标宋简体" w:eastAsia="方正小标宋简体" w:cs="仿宋"/>
          <w:spacing w:val="-10"/>
          <w:sz w:val="38"/>
          <w:szCs w:val="38"/>
        </w:rPr>
        <w:t>年上海市成人高校招生章程核准备案表（副表）</w:t>
      </w:r>
    </w:p>
    <w:p>
      <w:pPr>
        <w:spacing w:line="520" w:lineRule="exact"/>
        <w:ind w:left="-94" w:right="-418" w:hanging="221"/>
        <w:jc w:val="center"/>
        <w:rPr>
          <w:rFonts w:hint="eastAsia" w:ascii="仿宋_GB2312" w:hAnsi="仿宋_GB2312" w:eastAsia="仿宋_GB2312"/>
          <w:spacing w:val="-10"/>
          <w:sz w:val="28"/>
          <w:szCs w:val="28"/>
        </w:rPr>
      </w:pPr>
      <w:r>
        <w:rPr>
          <w:rFonts w:ascii="仿宋_GB2312" w:hAnsi="仿宋_GB2312" w:eastAsia="仿宋_GB2312" w:cs="仿宋"/>
          <w:spacing w:val="-10"/>
          <w:sz w:val="28"/>
          <w:szCs w:val="28"/>
        </w:rPr>
        <w:t>（成人高考）</w:t>
      </w:r>
    </w:p>
    <w:tbl>
      <w:tblPr>
        <w:tblStyle w:val="7"/>
        <w:tblW w:w="9038" w:type="dxa"/>
        <w:jc w:val="center"/>
        <w:tblInd w:w="0" w:type="dxa"/>
        <w:tblLayout w:type="fixed"/>
        <w:tblCellMar>
          <w:top w:w="0" w:type="dxa"/>
          <w:left w:w="108" w:type="dxa"/>
          <w:bottom w:w="0" w:type="dxa"/>
          <w:right w:w="108" w:type="dxa"/>
        </w:tblCellMar>
      </w:tblPr>
      <w:tblGrid>
        <w:gridCol w:w="469"/>
        <w:gridCol w:w="4051"/>
        <w:gridCol w:w="4518"/>
      </w:tblGrid>
      <w:tr>
        <w:tblPrEx>
          <w:tblLayout w:type="fixed"/>
          <w:tblCellMar>
            <w:top w:w="0" w:type="dxa"/>
            <w:left w:w="108" w:type="dxa"/>
            <w:bottom w:w="0" w:type="dxa"/>
            <w:right w:w="108" w:type="dxa"/>
          </w:tblCellMar>
        </w:tblPrEx>
        <w:trPr>
          <w:trHeight w:val="5110" w:hRule="atLeast"/>
          <w:jc w:val="center"/>
        </w:trPr>
        <w:tc>
          <w:tcPr>
            <w:tcW w:w="469" w:type="dxa"/>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仿宋_GB2312" w:hAnsi="仿宋_GB2312" w:eastAsia="仿宋_GB2312"/>
                <w:sz w:val="24"/>
                <w:szCs w:val="24"/>
              </w:rPr>
            </w:pPr>
            <w:r>
              <w:rPr>
                <w:rFonts w:ascii="仿宋_GB2312" w:hAnsi="仿宋_GB2312" w:eastAsia="仿宋_GB2312" w:cs="仿宋"/>
                <w:sz w:val="24"/>
                <w:szCs w:val="24"/>
              </w:rPr>
              <w:t>院校填写</w:t>
            </w:r>
          </w:p>
        </w:tc>
        <w:tc>
          <w:tcPr>
            <w:tcW w:w="8569" w:type="dxa"/>
            <w:gridSpan w:val="2"/>
            <w:tcBorders>
              <w:top w:val="single" w:color="000000" w:sz="12" w:space="0"/>
              <w:left w:val="single" w:color="000000" w:sz="4" w:space="0"/>
              <w:bottom w:val="single" w:color="000000" w:sz="12" w:space="0"/>
              <w:right w:val="single" w:color="000000" w:sz="12" w:space="0"/>
            </w:tcBorders>
            <w:shd w:val="clear" w:color="auto" w:fill="auto"/>
          </w:tcPr>
          <w:p>
            <w:pPr>
              <w:spacing w:line="560" w:lineRule="exact"/>
              <w:ind w:left="-77" w:hanging="463"/>
              <w:jc w:val="center"/>
              <w:rPr>
                <w:rFonts w:hint="eastAsia" w:ascii="仿宋_GB2312" w:hAnsi="仿宋_GB2312" w:eastAsia="仿宋_GB2312"/>
                <w:sz w:val="24"/>
                <w:szCs w:val="24"/>
              </w:rPr>
            </w:pPr>
            <w:r>
              <w:rPr>
                <w:rFonts w:ascii="仿宋_GB2312" w:hAnsi="仿宋_GB2312" w:eastAsia="仿宋_GB2312" w:cs="仿宋"/>
                <w:sz w:val="24"/>
                <w:szCs w:val="24"/>
              </w:rPr>
              <w:t>申    明</w:t>
            </w:r>
          </w:p>
          <w:p>
            <w:pPr>
              <w:snapToGrid w:val="0"/>
              <w:spacing w:line="560" w:lineRule="atLeast"/>
              <w:ind w:firstLine="480"/>
              <w:rPr>
                <w:rFonts w:hint="eastAsia" w:ascii="仿宋_GB2312" w:hAnsi="仿宋_GB2312" w:eastAsia="仿宋_GB2312"/>
                <w:sz w:val="24"/>
                <w:szCs w:val="24"/>
              </w:rPr>
            </w:pPr>
            <w:r>
              <w:rPr>
                <w:rFonts w:ascii="仿宋_GB2312" w:hAnsi="仿宋_GB2312" w:eastAsia="仿宋_GB2312" w:cs="仿宋"/>
                <w:sz w:val="24"/>
                <w:szCs w:val="24"/>
              </w:rPr>
              <w:t xml:space="preserve">我校依据《中华人民共和国教育法》《中华人民共和国高等教育法》《中华人民共和国民办教育促进法》以及教育部和市教委有关规定制订本校的招生章程，所有内容均合法真实有效，我校将严格按照经核定备案的招生章程向社会公布，并承担教育部关于“学校法定代表人应对学校招生章程及有关宣传材料的真实性负责”规定的相关责任。 </w:t>
            </w:r>
          </w:p>
          <w:p>
            <w:pPr>
              <w:snapToGrid w:val="0"/>
              <w:spacing w:line="560" w:lineRule="atLeast"/>
              <w:ind w:firstLine="1560"/>
              <w:rPr>
                <w:rFonts w:hint="eastAsia" w:ascii="仿宋_GB2312" w:hAnsi="仿宋_GB2312" w:eastAsia="仿宋_GB2312" w:cs="仿宋"/>
                <w:sz w:val="24"/>
                <w:szCs w:val="24"/>
              </w:rPr>
            </w:pPr>
            <w:r>
              <w:rPr>
                <w:rFonts w:ascii="仿宋_GB2312" w:hAnsi="仿宋_GB2312" w:eastAsia="仿宋_GB2312" w:cs="仿宋"/>
                <w:sz w:val="24"/>
                <w:szCs w:val="24"/>
              </w:rPr>
              <w:t>院  校  全  称（盖章）：</w:t>
            </w:r>
          </w:p>
          <w:p>
            <w:pPr>
              <w:snapToGrid w:val="0"/>
              <w:spacing w:line="560" w:lineRule="atLeast"/>
              <w:ind w:firstLine="1560"/>
              <w:rPr>
                <w:rFonts w:hint="eastAsia" w:ascii="仿宋_GB2312" w:hAnsi="仿宋_GB2312" w:eastAsia="仿宋_GB2312" w:cs="仿宋"/>
                <w:sz w:val="24"/>
                <w:szCs w:val="24"/>
              </w:rPr>
            </w:pPr>
            <w:r>
              <w:rPr>
                <w:rFonts w:ascii="仿宋_GB2312" w:hAnsi="仿宋_GB2312" w:eastAsia="仿宋_GB2312" w:cs="仿宋"/>
                <w:sz w:val="24"/>
                <w:szCs w:val="24"/>
              </w:rPr>
              <w:t>院校法定代表人（签字）：</w:t>
            </w:r>
          </w:p>
          <w:p>
            <w:pPr>
              <w:snapToGrid w:val="0"/>
              <w:spacing w:line="560" w:lineRule="atLeast"/>
              <w:ind w:firstLine="1560"/>
              <w:rPr>
                <w:rFonts w:hint="eastAsia" w:ascii="仿宋_GB2312" w:hAnsi="仿宋_GB2312" w:eastAsia="仿宋_GB2312" w:cs="仿宋"/>
                <w:sz w:val="24"/>
                <w:szCs w:val="24"/>
              </w:rPr>
            </w:pPr>
            <w:r>
              <w:rPr>
                <w:rFonts w:ascii="仿宋_GB2312" w:hAnsi="仿宋_GB2312" w:eastAsia="仿宋_GB2312" w:cs="仿宋"/>
                <w:sz w:val="24"/>
                <w:szCs w:val="24"/>
              </w:rPr>
              <w:t>招生办公室负责人（签字）：</w:t>
            </w:r>
          </w:p>
          <w:p>
            <w:pPr>
              <w:snapToGrid w:val="0"/>
              <w:spacing w:line="560" w:lineRule="atLeast"/>
              <w:ind w:firstLine="1680"/>
              <w:jc w:val="right"/>
              <w:rPr>
                <w:rFonts w:hint="eastAsia" w:ascii="仿宋_GB2312" w:hAnsi="仿宋_GB2312" w:eastAsia="仿宋_GB2312"/>
                <w:sz w:val="24"/>
                <w:szCs w:val="24"/>
              </w:rPr>
            </w:pPr>
            <w:r>
              <w:rPr>
                <w:rFonts w:ascii="仿宋_GB2312" w:hAnsi="仿宋_GB2312" w:eastAsia="仿宋_GB2312" w:cs="仿宋"/>
                <w:color w:val="000000"/>
                <w:kern w:val="0"/>
                <w:sz w:val="24"/>
                <w:szCs w:val="24"/>
              </w:rPr>
              <w:t xml:space="preserve"> 日期：</w:t>
            </w:r>
            <w:r>
              <w:rPr>
                <w:rFonts w:ascii="仿宋_GB2312" w:hAnsi="仿宋_GB2312" w:eastAsia="仿宋_GB2312" w:cs="仿宋"/>
                <w:sz w:val="24"/>
                <w:szCs w:val="24"/>
              </w:rPr>
              <w:t xml:space="preserve">    年    月    日</w:t>
            </w:r>
          </w:p>
        </w:tc>
      </w:tr>
      <w:tr>
        <w:tblPrEx>
          <w:tblLayout w:type="fixed"/>
          <w:tblCellMar>
            <w:top w:w="0" w:type="dxa"/>
            <w:left w:w="108" w:type="dxa"/>
            <w:bottom w:w="0" w:type="dxa"/>
            <w:right w:w="108" w:type="dxa"/>
          </w:tblCellMar>
        </w:tblPrEx>
        <w:trPr>
          <w:trHeight w:val="707" w:hRule="atLeast"/>
          <w:jc w:val="center"/>
        </w:trPr>
        <w:tc>
          <w:tcPr>
            <w:tcW w:w="9038" w:type="dxa"/>
            <w:gridSpan w:val="3"/>
            <w:tcBorders>
              <w:top w:val="single" w:color="000000" w:sz="12" w:space="0"/>
              <w:left w:val="single" w:color="000000" w:sz="12" w:space="0"/>
              <w:bottom w:val="single" w:color="000000" w:sz="4" w:space="0"/>
              <w:right w:val="single" w:color="000000" w:sz="12" w:space="0"/>
            </w:tcBorders>
            <w:shd w:val="clear" w:color="auto" w:fill="auto"/>
            <w:vAlign w:val="center"/>
          </w:tcPr>
          <w:p>
            <w:pPr>
              <w:spacing w:line="500" w:lineRule="exact"/>
              <w:rPr>
                <w:rFonts w:hint="eastAsia" w:ascii="仿宋_GB2312" w:hAnsi="仿宋_GB2312" w:eastAsia="仿宋_GB2312"/>
                <w:sz w:val="24"/>
                <w:szCs w:val="24"/>
              </w:rPr>
            </w:pPr>
            <w:r>
              <w:rPr>
                <w:rFonts w:ascii="仿宋_GB2312" w:hAnsi="仿宋_GB2312" w:eastAsia="仿宋_GB2312" w:cs="仿宋"/>
                <w:sz w:val="24"/>
                <w:szCs w:val="24"/>
              </w:rPr>
              <w:t>上海市教育委员会相关处室意见</w:t>
            </w:r>
          </w:p>
        </w:tc>
      </w:tr>
      <w:tr>
        <w:tblPrEx>
          <w:tblLayout w:type="fixed"/>
          <w:tblCellMar>
            <w:top w:w="0" w:type="dxa"/>
            <w:left w:w="108" w:type="dxa"/>
            <w:bottom w:w="0" w:type="dxa"/>
            <w:right w:w="108" w:type="dxa"/>
          </w:tblCellMar>
        </w:tblPrEx>
        <w:trPr>
          <w:trHeight w:val="732" w:hRule="atLeast"/>
          <w:jc w:val="center"/>
        </w:trPr>
        <w:tc>
          <w:tcPr>
            <w:tcW w:w="452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500" w:lineRule="exact"/>
              <w:rPr>
                <w:rFonts w:hint="eastAsia" w:ascii="仿宋_GB2312" w:hAnsi="仿宋_GB2312" w:eastAsia="仿宋_GB2312"/>
                <w:sz w:val="24"/>
                <w:szCs w:val="24"/>
              </w:rPr>
            </w:pPr>
            <w:r>
              <w:rPr>
                <w:rFonts w:ascii="仿宋_GB2312" w:hAnsi="仿宋_GB2312" w:eastAsia="仿宋_GB2312" w:cs="仿宋"/>
                <w:sz w:val="24"/>
                <w:szCs w:val="24"/>
              </w:rPr>
              <w:t>发展规划处：</w:t>
            </w:r>
          </w:p>
        </w:tc>
        <w:tc>
          <w:tcPr>
            <w:tcW w:w="4518"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500" w:lineRule="exact"/>
              <w:rPr>
                <w:rFonts w:hint="eastAsia" w:ascii="仿宋_GB2312" w:hAnsi="仿宋_GB2312" w:eastAsia="仿宋_GB2312"/>
                <w:sz w:val="24"/>
                <w:szCs w:val="24"/>
              </w:rPr>
            </w:pPr>
            <w:r>
              <w:rPr>
                <w:rFonts w:ascii="仿宋_GB2312" w:hAnsi="仿宋_GB2312" w:eastAsia="仿宋_GB2312" w:cs="仿宋"/>
                <w:sz w:val="24"/>
                <w:szCs w:val="24"/>
              </w:rPr>
              <w:t>财务处：</w:t>
            </w:r>
          </w:p>
        </w:tc>
      </w:tr>
      <w:tr>
        <w:tblPrEx>
          <w:tblLayout w:type="fixed"/>
          <w:tblCellMar>
            <w:top w:w="0" w:type="dxa"/>
            <w:left w:w="108" w:type="dxa"/>
            <w:bottom w:w="0" w:type="dxa"/>
            <w:right w:w="108" w:type="dxa"/>
          </w:tblCellMar>
        </w:tblPrEx>
        <w:trPr>
          <w:trHeight w:val="642" w:hRule="atLeast"/>
          <w:jc w:val="center"/>
        </w:trPr>
        <w:tc>
          <w:tcPr>
            <w:tcW w:w="452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500" w:lineRule="exact"/>
              <w:rPr>
                <w:rFonts w:hint="eastAsia" w:ascii="仿宋_GB2312" w:hAnsi="仿宋_GB2312" w:eastAsia="仿宋_GB2312" w:cs="仿宋"/>
                <w:sz w:val="24"/>
                <w:szCs w:val="24"/>
              </w:rPr>
            </w:pPr>
            <w:r>
              <w:rPr>
                <w:rFonts w:ascii="仿宋_GB2312" w:hAnsi="仿宋_GB2312" w:eastAsia="仿宋_GB2312" w:cs="仿宋"/>
                <w:sz w:val="24"/>
                <w:szCs w:val="24"/>
              </w:rPr>
              <w:t>高等教育处：</w:t>
            </w:r>
          </w:p>
        </w:tc>
        <w:tc>
          <w:tcPr>
            <w:tcW w:w="4518"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500" w:lineRule="exact"/>
              <w:rPr>
                <w:rFonts w:hint="eastAsia" w:ascii="仿宋_GB2312" w:hAnsi="仿宋_GB2312" w:eastAsia="仿宋_GB2312" w:cs="仿宋"/>
                <w:sz w:val="24"/>
                <w:szCs w:val="24"/>
              </w:rPr>
            </w:pPr>
            <w:r>
              <w:rPr>
                <w:rFonts w:ascii="仿宋_GB2312" w:hAnsi="仿宋_GB2312" w:eastAsia="仿宋_GB2312" w:cs="仿宋"/>
                <w:sz w:val="24"/>
                <w:szCs w:val="24"/>
              </w:rPr>
              <w:t>职业教育处：</w:t>
            </w:r>
          </w:p>
        </w:tc>
      </w:tr>
      <w:tr>
        <w:tblPrEx>
          <w:tblLayout w:type="fixed"/>
          <w:tblCellMar>
            <w:top w:w="0" w:type="dxa"/>
            <w:left w:w="108" w:type="dxa"/>
            <w:bottom w:w="0" w:type="dxa"/>
            <w:right w:w="108" w:type="dxa"/>
          </w:tblCellMar>
        </w:tblPrEx>
        <w:trPr>
          <w:trHeight w:val="717" w:hRule="atLeast"/>
          <w:jc w:val="center"/>
        </w:trPr>
        <w:tc>
          <w:tcPr>
            <w:tcW w:w="452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spacing w:line="500" w:lineRule="exact"/>
              <w:rPr>
                <w:rFonts w:hint="eastAsia" w:ascii="仿宋_GB2312" w:hAnsi="仿宋_GB2312" w:eastAsia="仿宋_GB2312" w:cs="仿宋"/>
                <w:sz w:val="24"/>
                <w:szCs w:val="24"/>
              </w:rPr>
            </w:pPr>
            <w:r>
              <w:rPr>
                <w:rFonts w:ascii="仿宋_GB2312" w:hAnsi="仿宋_GB2312" w:eastAsia="仿宋_GB2312" w:cs="仿宋"/>
                <w:sz w:val="24"/>
                <w:szCs w:val="24"/>
              </w:rPr>
              <w:t>学生处：</w:t>
            </w:r>
          </w:p>
        </w:tc>
        <w:tc>
          <w:tcPr>
            <w:tcW w:w="4518" w:type="dxa"/>
            <w:tcBorders>
              <w:top w:val="single" w:color="000000" w:sz="4" w:space="0"/>
              <w:left w:val="single" w:color="000000" w:sz="4" w:space="0"/>
              <w:bottom w:val="single" w:color="000000" w:sz="4" w:space="0"/>
              <w:right w:val="single" w:color="000000" w:sz="12" w:space="0"/>
            </w:tcBorders>
            <w:shd w:val="clear" w:color="auto" w:fill="auto"/>
            <w:vAlign w:val="center"/>
          </w:tcPr>
          <w:p>
            <w:pPr>
              <w:spacing w:line="500" w:lineRule="exact"/>
              <w:rPr>
                <w:rFonts w:hint="eastAsia" w:ascii="仿宋_GB2312" w:hAnsi="仿宋_GB2312" w:eastAsia="仿宋_GB2312" w:cs="仿宋"/>
                <w:sz w:val="24"/>
                <w:szCs w:val="24"/>
              </w:rPr>
            </w:pPr>
          </w:p>
        </w:tc>
      </w:tr>
      <w:tr>
        <w:tblPrEx>
          <w:tblLayout w:type="fixed"/>
          <w:tblCellMar>
            <w:top w:w="0" w:type="dxa"/>
            <w:left w:w="108" w:type="dxa"/>
            <w:bottom w:w="0" w:type="dxa"/>
            <w:right w:w="108" w:type="dxa"/>
          </w:tblCellMar>
        </w:tblPrEx>
        <w:trPr>
          <w:trHeight w:val="747" w:hRule="atLeast"/>
          <w:jc w:val="center"/>
        </w:trPr>
        <w:tc>
          <w:tcPr>
            <w:tcW w:w="9038" w:type="dxa"/>
            <w:gridSpan w:val="3"/>
            <w:tcBorders>
              <w:top w:val="single" w:color="000000" w:sz="4" w:space="0"/>
              <w:left w:val="single" w:color="000000" w:sz="12" w:space="0"/>
              <w:bottom w:val="single" w:color="000000" w:sz="4" w:space="0"/>
              <w:right w:val="single" w:color="000000" w:sz="12" w:space="0"/>
            </w:tcBorders>
            <w:shd w:val="clear" w:color="auto" w:fill="auto"/>
            <w:vAlign w:val="center"/>
          </w:tcPr>
          <w:p>
            <w:pPr>
              <w:spacing w:line="500" w:lineRule="exact"/>
              <w:rPr>
                <w:rFonts w:hint="eastAsia" w:ascii="仿宋_GB2312" w:hAnsi="仿宋_GB2312" w:eastAsia="仿宋_GB2312" w:cs="仿宋"/>
                <w:sz w:val="24"/>
                <w:szCs w:val="24"/>
              </w:rPr>
            </w:pPr>
            <w:r>
              <w:rPr>
                <w:rFonts w:ascii="仿宋_GB2312" w:hAnsi="仿宋_GB2312" w:eastAsia="仿宋_GB2312" w:cs="仿宋"/>
                <w:sz w:val="24"/>
                <w:szCs w:val="24"/>
              </w:rPr>
              <w:t>上海市教育考试院自学考试办公室意见：</w:t>
            </w:r>
          </w:p>
        </w:tc>
      </w:tr>
      <w:tr>
        <w:tblPrEx>
          <w:tblLayout w:type="fixed"/>
          <w:tblCellMar>
            <w:top w:w="0" w:type="dxa"/>
            <w:left w:w="108" w:type="dxa"/>
            <w:bottom w:w="0" w:type="dxa"/>
            <w:right w:w="108" w:type="dxa"/>
          </w:tblCellMar>
        </w:tblPrEx>
        <w:trPr>
          <w:trHeight w:val="835" w:hRule="atLeast"/>
          <w:jc w:val="center"/>
        </w:trPr>
        <w:tc>
          <w:tcPr>
            <w:tcW w:w="9038" w:type="dxa"/>
            <w:gridSpan w:val="3"/>
            <w:tcBorders>
              <w:top w:val="single" w:color="000000" w:sz="4" w:space="0"/>
              <w:left w:val="single" w:color="000000" w:sz="12" w:space="0"/>
              <w:bottom w:val="single" w:color="000000" w:sz="12" w:space="0"/>
              <w:right w:val="single" w:color="000000" w:sz="12" w:space="0"/>
            </w:tcBorders>
            <w:shd w:val="clear" w:color="auto" w:fill="auto"/>
            <w:vAlign w:val="center"/>
          </w:tcPr>
          <w:p>
            <w:pPr>
              <w:spacing w:before="93"/>
              <w:rPr>
                <w:rFonts w:hint="eastAsia" w:ascii="仿宋_GB2312" w:hAnsi="仿宋_GB2312" w:eastAsia="仿宋_GB2312" w:cs="仿宋"/>
                <w:sz w:val="24"/>
                <w:szCs w:val="24"/>
              </w:rPr>
            </w:pPr>
          </w:p>
          <w:p>
            <w:pPr>
              <w:spacing w:before="93"/>
              <w:rPr>
                <w:rFonts w:hint="eastAsia" w:ascii="仿宋_GB2312" w:hAnsi="仿宋_GB2312" w:eastAsia="仿宋_GB2312" w:cs="仿宋"/>
                <w:sz w:val="24"/>
                <w:szCs w:val="24"/>
              </w:rPr>
            </w:pPr>
            <w:r>
              <w:rPr>
                <w:rFonts w:ascii="仿宋_GB2312" w:hAnsi="仿宋_GB2312" w:eastAsia="仿宋_GB2312" w:cs="仿宋"/>
                <w:sz w:val="24"/>
                <w:szCs w:val="24"/>
              </w:rPr>
              <w:t>注：</w:t>
            </w:r>
          </w:p>
          <w:p>
            <w:pPr>
              <w:spacing w:before="93"/>
              <w:rPr>
                <w:rFonts w:hint="eastAsia" w:ascii="仿宋_GB2312" w:hAnsi="仿宋_GB2312" w:eastAsia="仿宋_GB2312"/>
                <w:sz w:val="24"/>
                <w:szCs w:val="24"/>
              </w:rPr>
            </w:pPr>
          </w:p>
        </w:tc>
      </w:tr>
    </w:tbl>
    <w:p>
      <w:pPr>
        <w:spacing w:line="560" w:lineRule="exact"/>
        <w:jc w:val="center"/>
        <w:rPr>
          <w:rFonts w:hint="eastAsia" w:ascii="黑体" w:hAnsi="黑体" w:eastAsia="黑体" w:cs="仿宋"/>
          <w:sz w:val="36"/>
          <w:szCs w:val="36"/>
        </w:rPr>
      </w:pPr>
    </w:p>
    <w:p>
      <w:pPr>
        <w:spacing w:line="560" w:lineRule="exact"/>
        <w:jc w:val="center"/>
        <w:rPr>
          <w:rFonts w:hint="eastAsia" w:ascii="黑体" w:hAnsi="黑体" w:eastAsia="黑体" w:cs="仿宋"/>
          <w:sz w:val="36"/>
          <w:szCs w:val="36"/>
        </w:rPr>
      </w:pPr>
    </w:p>
    <w:p>
      <w:pPr>
        <w:spacing w:line="560" w:lineRule="exact"/>
        <w:jc w:val="center"/>
        <w:rPr>
          <w:rFonts w:hint="eastAsia" w:ascii="黑体" w:hAnsi="黑体" w:eastAsia="黑体"/>
          <w:sz w:val="36"/>
          <w:szCs w:val="36"/>
        </w:rPr>
      </w:pPr>
      <w:r>
        <w:rPr>
          <w:rFonts w:ascii="黑体" w:hAnsi="黑体" w:eastAsia="黑体" w:cs="仿宋"/>
          <w:sz w:val="36"/>
          <w:szCs w:val="36"/>
        </w:rPr>
        <w:t>填  表  说  明</w:t>
      </w:r>
    </w:p>
    <w:p>
      <w:pPr>
        <w:spacing w:line="560" w:lineRule="exact"/>
        <w:rPr>
          <w:rFonts w:hint="eastAsia" w:ascii="仿宋" w:hAnsi="仿宋" w:eastAsia="仿宋"/>
          <w:sz w:val="28"/>
          <w:szCs w:val="28"/>
        </w:rPr>
      </w:pPr>
    </w:p>
    <w:p>
      <w:pPr>
        <w:spacing w:line="560" w:lineRule="exact"/>
        <w:ind w:firstLine="480"/>
        <w:rPr>
          <w:rFonts w:hint="eastAsia" w:ascii="仿宋_GB2312" w:hAnsi="仿宋_GB2312" w:eastAsia="仿宋_GB2312"/>
          <w:sz w:val="24"/>
          <w:szCs w:val="24"/>
        </w:rPr>
      </w:pPr>
      <w:r>
        <w:rPr>
          <w:rFonts w:ascii="仿宋_GB2312" w:hAnsi="仿宋_GB2312" w:eastAsia="仿宋_GB2312" w:cs="仿宋"/>
          <w:sz w:val="24"/>
          <w:szCs w:val="24"/>
        </w:rPr>
        <w:t>一、各高校按《</w:t>
      </w:r>
      <w:r>
        <w:rPr>
          <w:rFonts w:hint="eastAsia" w:ascii="仿宋_GB2312" w:hAnsi="仿宋_GB2312" w:eastAsia="仿宋_GB2312" w:cs="仿宋"/>
          <w:sz w:val="24"/>
          <w:szCs w:val="24"/>
          <w:lang w:eastAsia="zh-CN"/>
        </w:rPr>
        <w:t>2025</w:t>
      </w:r>
      <w:r>
        <w:rPr>
          <w:rFonts w:ascii="仿宋_GB2312" w:hAnsi="仿宋_GB2312" w:eastAsia="仿宋_GB2312" w:cs="仿宋"/>
          <w:sz w:val="24"/>
          <w:szCs w:val="24"/>
        </w:rPr>
        <w:t>年上海市成人高等学校招生章程》样张表格如实填写各项内容，已统一规范的文字表述不可任意修改。如有补充说明，可另用附件并在表中注明。</w:t>
      </w:r>
    </w:p>
    <w:p>
      <w:pPr>
        <w:spacing w:line="560" w:lineRule="exact"/>
        <w:ind w:firstLine="480"/>
        <w:rPr>
          <w:rFonts w:hint="eastAsia" w:ascii="仿宋_GB2312" w:hAnsi="仿宋_GB2312" w:eastAsia="仿宋_GB2312" w:cs="仿宋"/>
          <w:sz w:val="24"/>
          <w:szCs w:val="24"/>
        </w:rPr>
      </w:pPr>
      <w:r>
        <w:rPr>
          <w:rFonts w:ascii="仿宋_GB2312" w:hAnsi="仿宋_GB2312" w:eastAsia="仿宋_GB2312" w:cs="仿宋"/>
          <w:sz w:val="24"/>
          <w:szCs w:val="24"/>
        </w:rPr>
        <w:t>二、附件1中“二、就读校址”可根据校区及各教学点实际情况表述。如学生在读期间可能涉及更换校区等情况，需要在“十五、其他须知”中注明。</w:t>
      </w:r>
    </w:p>
    <w:p>
      <w:pPr>
        <w:spacing w:line="560" w:lineRule="exact"/>
        <w:ind w:firstLine="480"/>
        <w:rPr>
          <w:rFonts w:hint="eastAsia" w:ascii="仿宋_GB2312" w:hAnsi="仿宋_GB2312" w:eastAsia="仿宋_GB2312" w:cs="仿宋"/>
          <w:sz w:val="24"/>
          <w:szCs w:val="24"/>
        </w:rPr>
      </w:pPr>
      <w:r>
        <w:rPr>
          <w:rFonts w:ascii="仿宋_GB2312" w:hAnsi="仿宋_GB2312" w:eastAsia="仿宋_GB2312" w:cs="仿宋"/>
          <w:sz w:val="24"/>
          <w:szCs w:val="24"/>
        </w:rPr>
        <w:t>三、附件1中“七、招生专业及说明”应含专业名称、科类、学制与年限、专业方向、语种、收费标准、学习形式、招生范围、办学地点、专业加试要求等，可附表。</w:t>
      </w:r>
    </w:p>
    <w:p>
      <w:pPr>
        <w:spacing w:line="560" w:lineRule="exact"/>
        <w:ind w:firstLine="480"/>
        <w:rPr>
          <w:rFonts w:hint="eastAsia" w:ascii="仿宋_GB2312" w:hAnsi="仿宋_GB2312" w:eastAsia="仿宋_GB2312" w:cs="仿宋"/>
          <w:sz w:val="24"/>
          <w:szCs w:val="24"/>
        </w:rPr>
      </w:pPr>
      <w:r>
        <w:rPr>
          <w:rFonts w:ascii="仿宋_GB2312" w:hAnsi="仿宋_GB2312" w:eastAsia="仿宋_GB2312" w:cs="仿宋"/>
          <w:sz w:val="24"/>
          <w:szCs w:val="24"/>
        </w:rPr>
        <w:t>四、未经教育部批准，高等学校不得擅自规定男女生录取比例。</w:t>
      </w:r>
    </w:p>
    <w:p>
      <w:pPr>
        <w:spacing w:line="560" w:lineRule="exact"/>
        <w:ind w:firstLine="480"/>
        <w:rPr>
          <w:rFonts w:hint="eastAsia" w:ascii="仿宋_GB2312" w:hAnsi="仿宋_GB2312" w:eastAsia="仿宋_GB2312"/>
          <w:sz w:val="24"/>
          <w:szCs w:val="24"/>
        </w:rPr>
      </w:pPr>
      <w:r>
        <w:rPr>
          <w:rFonts w:ascii="仿宋_GB2312" w:hAnsi="仿宋_GB2312" w:eastAsia="仿宋_GB2312" w:cs="仿宋"/>
          <w:sz w:val="24"/>
          <w:szCs w:val="24"/>
        </w:rPr>
        <w:t>五、附件1中“十一、录取规则”中需说明作为录取依据的总分的组成规则、专业安排办法等内容。</w:t>
      </w:r>
    </w:p>
    <w:p>
      <w:pPr>
        <w:spacing w:line="560" w:lineRule="exact"/>
        <w:ind w:firstLine="480"/>
        <w:rPr>
          <w:rFonts w:hint="eastAsia" w:ascii="仿宋_GB2312" w:hAnsi="仿宋_GB2312" w:eastAsia="仿宋_GB2312" w:cs="仿宋"/>
          <w:sz w:val="24"/>
          <w:szCs w:val="24"/>
        </w:rPr>
      </w:pPr>
      <w:r>
        <w:rPr>
          <w:rFonts w:ascii="仿宋_GB2312" w:hAnsi="仿宋_GB2312" w:eastAsia="仿宋_GB2312" w:cs="仿宋"/>
          <w:sz w:val="24"/>
          <w:szCs w:val="24"/>
        </w:rPr>
        <w:t>六、附件1中“十二、收费标准”相关内容请注明批文号。</w:t>
      </w:r>
    </w:p>
    <w:p>
      <w:pPr>
        <w:spacing w:line="560" w:lineRule="exact"/>
        <w:ind w:firstLine="480"/>
        <w:rPr>
          <w:rFonts w:hint="eastAsia" w:ascii="仿宋_GB2312" w:hAnsi="仿宋_GB2312" w:eastAsia="仿宋_GB2312" w:cs="仿宋"/>
          <w:sz w:val="24"/>
          <w:szCs w:val="24"/>
        </w:rPr>
      </w:pPr>
      <w:r>
        <w:rPr>
          <w:rFonts w:ascii="仿宋_GB2312" w:hAnsi="仿宋_GB2312" w:eastAsia="仿宋_GB2312" w:cs="仿宋"/>
          <w:sz w:val="24"/>
          <w:szCs w:val="24"/>
        </w:rPr>
        <w:t>七、章程涉及文件政策内容须注明文件全称、文号等。</w:t>
      </w:r>
    </w:p>
    <w:p>
      <w:pPr>
        <w:spacing w:line="560" w:lineRule="exact"/>
        <w:ind w:firstLine="480"/>
        <w:rPr>
          <w:rFonts w:hint="eastAsia" w:ascii="仿宋_GB2312" w:hAnsi="仿宋_GB2312" w:eastAsia="仿宋_GB2312"/>
          <w:sz w:val="24"/>
          <w:szCs w:val="24"/>
        </w:rPr>
      </w:pPr>
      <w:r>
        <w:rPr>
          <w:rFonts w:ascii="仿宋_GB2312" w:hAnsi="仿宋_GB2312" w:eastAsia="仿宋_GB2312" w:cs="仿宋"/>
          <w:sz w:val="24"/>
          <w:szCs w:val="24"/>
        </w:rPr>
        <w:t>八、经核定的招生章程向社会公布，不得擅自更改。</w:t>
      </w:r>
    </w:p>
    <w:p>
      <w:pPr>
        <w:spacing w:line="560" w:lineRule="exact"/>
        <w:rPr>
          <w:rFonts w:hint="eastAsia" w:ascii="仿宋_GB2312" w:hAnsi="仿宋_GB2312" w:eastAsia="仿宋_GB2312"/>
          <w:sz w:val="24"/>
          <w:szCs w:val="24"/>
        </w:rPr>
      </w:pPr>
    </w:p>
    <w:p/>
    <w:p/>
    <w:p/>
    <w:p/>
    <w:p/>
    <w:p/>
    <w:p/>
    <w:p/>
    <w:p/>
    <w:p/>
    <w:p>
      <w:pPr>
        <w:sectPr>
          <w:pgSz w:w="11906" w:h="16838"/>
          <w:pgMar w:top="1440" w:right="1800" w:bottom="1440" w:left="1800" w:header="0" w:footer="0" w:gutter="0"/>
          <w:cols w:space="720" w:num="1"/>
          <w:formProt w:val="0"/>
          <w:docGrid w:type="lines" w:linePitch="312" w:charSpace="0"/>
        </w:sectPr>
      </w:pPr>
    </w:p>
    <w:tbl>
      <w:tblPr>
        <w:tblStyle w:val="7"/>
        <w:tblW w:w="14175" w:type="dxa"/>
        <w:tblInd w:w="0" w:type="dxa"/>
        <w:tblLayout w:type="fixed"/>
        <w:tblCellMar>
          <w:top w:w="0" w:type="dxa"/>
          <w:left w:w="108" w:type="dxa"/>
          <w:bottom w:w="0" w:type="dxa"/>
          <w:right w:w="108" w:type="dxa"/>
        </w:tblCellMar>
      </w:tblPr>
      <w:tblGrid>
        <w:gridCol w:w="580"/>
        <w:gridCol w:w="1772"/>
        <w:gridCol w:w="580"/>
        <w:gridCol w:w="1125"/>
        <w:gridCol w:w="960"/>
        <w:gridCol w:w="860"/>
        <w:gridCol w:w="746"/>
        <w:gridCol w:w="555"/>
        <w:gridCol w:w="810"/>
        <w:gridCol w:w="1213"/>
        <w:gridCol w:w="1357"/>
        <w:gridCol w:w="499"/>
        <w:gridCol w:w="709"/>
        <w:gridCol w:w="708"/>
        <w:gridCol w:w="993"/>
        <w:gridCol w:w="708"/>
      </w:tblGrid>
      <w:tr>
        <w:tblPrEx>
          <w:tblLayout w:type="fixed"/>
          <w:tblCellMar>
            <w:top w:w="0" w:type="dxa"/>
            <w:left w:w="108" w:type="dxa"/>
            <w:bottom w:w="0" w:type="dxa"/>
            <w:right w:w="108" w:type="dxa"/>
          </w:tblCellMar>
        </w:tblPrEx>
        <w:trPr>
          <w:trHeight w:val="630" w:hRule="atLeast"/>
        </w:trPr>
        <w:tc>
          <w:tcPr>
            <w:tcW w:w="14175" w:type="dxa"/>
            <w:gridSpan w:val="16"/>
            <w:tcBorders>
              <w:top w:val="nil"/>
              <w:left w:val="nil"/>
              <w:bottom w:val="nil"/>
              <w:right w:val="nil"/>
            </w:tcBorders>
            <w:shd w:val="clear" w:color="auto" w:fill="auto"/>
            <w:noWrap/>
            <w:vAlign w:val="center"/>
          </w:tcPr>
          <w:p>
            <w:pPr>
              <w:widowControl/>
              <w:jc w:val="center"/>
              <w:rPr>
                <w:rFonts w:ascii="Arial" w:hAnsi="Arial" w:eastAsia="等线" w:cs="Arial"/>
                <w:b/>
                <w:bCs/>
                <w:kern w:val="0"/>
                <w:sz w:val="32"/>
                <w:szCs w:val="32"/>
              </w:rPr>
            </w:pPr>
            <w:r>
              <w:rPr>
                <w:rFonts w:hint="eastAsia" w:ascii="Arial" w:hAnsi="Arial" w:eastAsia="等线" w:cs="Arial"/>
                <w:b/>
                <w:bCs/>
                <w:kern w:val="0"/>
                <w:sz w:val="32"/>
                <w:szCs w:val="32"/>
                <w:lang w:eastAsia="zh-CN"/>
              </w:rPr>
              <w:t>2025</w:t>
            </w:r>
            <w:r>
              <w:rPr>
                <w:rFonts w:ascii="Arial" w:hAnsi="Arial" w:eastAsia="等线" w:cs="Arial"/>
                <w:b/>
                <w:bCs/>
                <w:kern w:val="0"/>
                <w:sz w:val="32"/>
                <w:szCs w:val="32"/>
              </w:rPr>
              <w:t>年成招专业目录(高职（专科）)</w:t>
            </w:r>
          </w:p>
        </w:tc>
      </w:tr>
      <w:tr>
        <w:tblPrEx>
          <w:tblLayout w:type="fixed"/>
          <w:tblCellMar>
            <w:top w:w="0" w:type="dxa"/>
            <w:left w:w="108" w:type="dxa"/>
            <w:bottom w:w="0" w:type="dxa"/>
            <w:right w:w="108" w:type="dxa"/>
          </w:tblCellMar>
        </w:tblPrEx>
        <w:trPr>
          <w:trHeight w:val="1103" w:hRule="atLeast"/>
        </w:trPr>
        <w:tc>
          <w:tcPr>
            <w:tcW w:w="580" w:type="dxa"/>
            <w:tcBorders>
              <w:top w:val="single" w:color="auto" w:sz="4" w:space="0"/>
              <w:left w:val="single" w:color="auto" w:sz="4" w:space="0"/>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院校代码</w:t>
            </w:r>
          </w:p>
        </w:tc>
        <w:tc>
          <w:tcPr>
            <w:tcW w:w="1772"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院校名称(确认地点)</w:t>
            </w:r>
          </w:p>
        </w:tc>
        <w:tc>
          <w:tcPr>
            <w:tcW w:w="580"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专业代码</w:t>
            </w:r>
          </w:p>
        </w:tc>
        <w:tc>
          <w:tcPr>
            <w:tcW w:w="1125"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专业名称</w:t>
            </w:r>
          </w:p>
        </w:tc>
        <w:tc>
          <w:tcPr>
            <w:tcW w:w="960"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科类</w:t>
            </w:r>
          </w:p>
        </w:tc>
        <w:tc>
          <w:tcPr>
            <w:tcW w:w="860"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学制</w:t>
            </w:r>
          </w:p>
        </w:tc>
        <w:tc>
          <w:tcPr>
            <w:tcW w:w="746"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最低学习年限</w:t>
            </w:r>
          </w:p>
        </w:tc>
        <w:tc>
          <w:tcPr>
            <w:tcW w:w="555"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专业方向</w:t>
            </w:r>
          </w:p>
        </w:tc>
        <w:tc>
          <w:tcPr>
            <w:tcW w:w="810"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外语语种</w:t>
            </w:r>
          </w:p>
        </w:tc>
        <w:tc>
          <w:tcPr>
            <w:tcW w:w="1213"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收费标准</w:t>
            </w:r>
          </w:p>
        </w:tc>
        <w:tc>
          <w:tcPr>
            <w:tcW w:w="1357"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收费形式</w:t>
            </w:r>
          </w:p>
        </w:tc>
        <w:tc>
          <w:tcPr>
            <w:tcW w:w="499"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学习形式</w:t>
            </w:r>
          </w:p>
        </w:tc>
        <w:tc>
          <w:tcPr>
            <w:tcW w:w="709"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上课地点</w:t>
            </w:r>
          </w:p>
        </w:tc>
        <w:tc>
          <w:tcPr>
            <w:tcW w:w="708"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招生范围</w:t>
            </w:r>
          </w:p>
        </w:tc>
        <w:tc>
          <w:tcPr>
            <w:tcW w:w="993"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备注</w:t>
            </w:r>
          </w:p>
        </w:tc>
        <w:tc>
          <w:tcPr>
            <w:tcW w:w="708" w:type="dxa"/>
            <w:tcBorders>
              <w:top w:val="single" w:color="auto" w:sz="4" w:space="0"/>
              <w:left w:val="nil"/>
              <w:bottom w:val="single" w:color="auto" w:sz="4" w:space="0"/>
              <w:right w:val="single" w:color="auto" w:sz="4" w:space="0"/>
            </w:tcBorders>
            <w:shd w:val="clear" w:color="000000" w:fill="808080"/>
            <w:vAlign w:val="center"/>
          </w:tcPr>
          <w:p>
            <w:pPr>
              <w:widowControl/>
              <w:jc w:val="center"/>
              <w:rPr>
                <w:rFonts w:ascii="Arial" w:hAnsi="Arial" w:eastAsia="等线" w:cs="Arial"/>
                <w:b/>
                <w:bCs/>
                <w:color w:val="FFFFFF"/>
                <w:kern w:val="0"/>
                <w:sz w:val="20"/>
              </w:rPr>
            </w:pPr>
            <w:r>
              <w:rPr>
                <w:rFonts w:ascii="Arial" w:hAnsi="Arial" w:eastAsia="等线" w:cs="Arial"/>
                <w:b/>
                <w:bCs/>
                <w:color w:val="FFFFFF"/>
                <w:kern w:val="0"/>
                <w:sz w:val="20"/>
              </w:rPr>
              <w:t>材料上传说明</w:t>
            </w:r>
          </w:p>
        </w:tc>
      </w:tr>
      <w:tr>
        <w:tblPrEx>
          <w:tblLayout w:type="fixed"/>
          <w:tblCellMar>
            <w:top w:w="0" w:type="dxa"/>
            <w:left w:w="108" w:type="dxa"/>
            <w:bottom w:w="0" w:type="dxa"/>
            <w:right w:w="108" w:type="dxa"/>
          </w:tblCellMar>
        </w:tblPrEx>
        <w:trPr>
          <w:trHeight w:val="807" w:hRule="atLeast"/>
        </w:trPr>
        <w:tc>
          <w:tcPr>
            <w:tcW w:w="5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Arial" w:hAnsi="Arial" w:eastAsia="等线" w:cs="Arial"/>
                <w:kern w:val="0"/>
                <w:sz w:val="20"/>
              </w:rPr>
            </w:pPr>
            <w:r>
              <w:rPr>
                <w:rFonts w:ascii="Arial" w:hAnsi="Arial" w:eastAsia="等线" w:cs="Arial"/>
                <w:kern w:val="0"/>
                <w:sz w:val="20"/>
              </w:rPr>
              <w:t>346</w:t>
            </w:r>
          </w:p>
        </w:tc>
        <w:tc>
          <w:tcPr>
            <w:tcW w:w="17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eastAsia="等线" w:cs="Arial"/>
                <w:kern w:val="0"/>
                <w:sz w:val="20"/>
              </w:rPr>
            </w:pPr>
            <w:r>
              <w:rPr>
                <w:rFonts w:ascii="Arial" w:hAnsi="Arial" w:eastAsia="等线" w:cs="Arial"/>
                <w:kern w:val="0"/>
                <w:sz w:val="20"/>
              </w:rPr>
              <w:t>上海行健职业学院(上海市静安区原平路55号5107室)</w:t>
            </w: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01</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工商企业管理</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文史类</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三年</w:t>
            </w:r>
          </w:p>
        </w:tc>
        <w:tc>
          <w:tcPr>
            <w:tcW w:w="74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二年半</w:t>
            </w:r>
          </w:p>
        </w:tc>
        <w:tc>
          <w:tcPr>
            <w:tcW w:w="5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等线" w:cs="Arial"/>
                <w:kern w:val="0"/>
                <w:sz w:val="20"/>
              </w:rPr>
            </w:pPr>
            <w:r>
              <w:rPr>
                <w:rFonts w:ascii="Arial" w:hAnsi="Arial" w:eastAsia="等线" w:cs="Arial"/>
                <w:kern w:val="0"/>
                <w:sz w:val="20"/>
              </w:rPr>
              <w:t>英语</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108元/学分</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按学分收费</w:t>
            </w:r>
          </w:p>
        </w:tc>
        <w:tc>
          <w:tcPr>
            <w:tcW w:w="49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业余</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bookmarkStart w:id="0" w:name="_GoBack"/>
            <w:r>
              <w:rPr>
                <w:rFonts w:ascii="Arial" w:hAnsi="Arial" w:eastAsia="等线" w:cs="Arial"/>
                <w:kern w:val="0"/>
                <w:sz w:val="20"/>
              </w:rPr>
              <w:t>1,2,</w:t>
            </w:r>
            <w:r>
              <w:rPr>
                <w:rFonts w:hint="eastAsia" w:ascii="Arial" w:hAnsi="Arial" w:eastAsia="等线" w:cs="Arial"/>
                <w:kern w:val="0"/>
                <w:sz w:val="20"/>
                <w:lang w:val="en-US" w:eastAsia="zh-CN"/>
              </w:rPr>
              <w:t>3</w:t>
            </w:r>
            <w:r>
              <w:rPr>
                <w:rFonts w:ascii="Arial" w:hAnsi="Arial" w:eastAsia="等线" w:cs="Arial"/>
                <w:kern w:val="0"/>
                <w:sz w:val="20"/>
              </w:rPr>
              <w:t>4</w:t>
            </w:r>
            <w:bookmarkEnd w:id="0"/>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社会招生</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89学分，总学费9600元</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07"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kern w:val="0"/>
                <w:sz w:val="20"/>
              </w:rPr>
            </w:pPr>
          </w:p>
        </w:tc>
        <w:tc>
          <w:tcPr>
            <w:tcW w:w="1772"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kern w:val="0"/>
                <w:sz w:val="2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等线" w:cs="Arial"/>
                <w:kern w:val="0"/>
                <w:sz w:val="20"/>
              </w:rPr>
            </w:pPr>
            <w:r>
              <w:rPr>
                <w:rFonts w:ascii="Arial" w:hAnsi="Arial" w:eastAsia="等线" w:cs="Arial"/>
                <w:kern w:val="0"/>
                <w:sz w:val="20"/>
              </w:rPr>
              <w:t>02</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电子商务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文史类</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三年</w:t>
            </w:r>
          </w:p>
        </w:tc>
        <w:tc>
          <w:tcPr>
            <w:tcW w:w="74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二年半</w:t>
            </w:r>
          </w:p>
        </w:tc>
        <w:tc>
          <w:tcPr>
            <w:tcW w:w="5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等线" w:cs="Arial"/>
                <w:kern w:val="0"/>
                <w:sz w:val="20"/>
              </w:rPr>
            </w:pPr>
            <w:r>
              <w:rPr>
                <w:rFonts w:ascii="Arial" w:hAnsi="Arial" w:eastAsia="等线" w:cs="Arial"/>
                <w:kern w:val="0"/>
                <w:sz w:val="20"/>
              </w:rPr>
              <w:t>英语</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108元/学分</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按学分收费</w:t>
            </w:r>
          </w:p>
        </w:tc>
        <w:tc>
          <w:tcPr>
            <w:tcW w:w="49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业余</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2,3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社会招生</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89学分，总学费9600元</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07"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kern w:val="0"/>
                <w:sz w:val="20"/>
              </w:rPr>
            </w:pPr>
          </w:p>
        </w:tc>
        <w:tc>
          <w:tcPr>
            <w:tcW w:w="1772"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kern w:val="0"/>
                <w:sz w:val="2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等线" w:cs="Arial"/>
                <w:kern w:val="0"/>
                <w:sz w:val="20"/>
              </w:rPr>
            </w:pPr>
            <w:r>
              <w:rPr>
                <w:rFonts w:ascii="Arial" w:hAnsi="Arial" w:eastAsia="等线" w:cs="Arial"/>
                <w:kern w:val="0"/>
                <w:sz w:val="20"/>
              </w:rPr>
              <w:t>51</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软件技术</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理工类</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三年</w:t>
            </w:r>
          </w:p>
        </w:tc>
        <w:tc>
          <w:tcPr>
            <w:tcW w:w="74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二年半</w:t>
            </w:r>
          </w:p>
        </w:tc>
        <w:tc>
          <w:tcPr>
            <w:tcW w:w="5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等线" w:cs="Arial"/>
                <w:kern w:val="0"/>
                <w:sz w:val="20"/>
              </w:rPr>
            </w:pPr>
            <w:r>
              <w:rPr>
                <w:rFonts w:ascii="Arial" w:hAnsi="Arial" w:eastAsia="等线" w:cs="Arial"/>
                <w:kern w:val="0"/>
                <w:sz w:val="20"/>
              </w:rPr>
              <w:t>英语</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108元/学分</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按学分收费</w:t>
            </w:r>
          </w:p>
        </w:tc>
        <w:tc>
          <w:tcPr>
            <w:tcW w:w="49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业余</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1,2</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社会招生</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89学分，总学费9600元</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07"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kern w:val="0"/>
                <w:sz w:val="20"/>
              </w:rPr>
            </w:pPr>
          </w:p>
        </w:tc>
        <w:tc>
          <w:tcPr>
            <w:tcW w:w="1772"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kern w:val="0"/>
                <w:sz w:val="20"/>
              </w:rPr>
            </w:pPr>
          </w:p>
        </w:tc>
        <w:tc>
          <w:tcPr>
            <w:tcW w:w="58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等线" w:cs="Arial"/>
                <w:kern w:val="0"/>
                <w:sz w:val="20"/>
              </w:rPr>
            </w:pPr>
            <w:r>
              <w:rPr>
                <w:rFonts w:ascii="Arial" w:hAnsi="Arial" w:eastAsia="等线" w:cs="Arial"/>
                <w:kern w:val="0"/>
                <w:sz w:val="20"/>
              </w:rPr>
              <w:t>52</w:t>
            </w:r>
          </w:p>
        </w:tc>
        <w:tc>
          <w:tcPr>
            <w:tcW w:w="1125"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电子商务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理工类</w:t>
            </w:r>
          </w:p>
        </w:tc>
        <w:tc>
          <w:tcPr>
            <w:tcW w:w="860"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三年</w:t>
            </w:r>
          </w:p>
        </w:tc>
        <w:tc>
          <w:tcPr>
            <w:tcW w:w="746"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二年半</w:t>
            </w:r>
          </w:p>
        </w:tc>
        <w:tc>
          <w:tcPr>
            <w:tcW w:w="555"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810" w:type="dxa"/>
            <w:tcBorders>
              <w:top w:val="nil"/>
              <w:left w:val="nil"/>
              <w:bottom w:val="single" w:color="auto" w:sz="4" w:space="0"/>
              <w:right w:val="single" w:color="auto" w:sz="4" w:space="0"/>
            </w:tcBorders>
            <w:shd w:val="clear" w:color="auto" w:fill="auto"/>
            <w:vAlign w:val="center"/>
          </w:tcPr>
          <w:p>
            <w:pPr>
              <w:widowControl/>
              <w:jc w:val="center"/>
              <w:rPr>
                <w:rFonts w:hint="eastAsia" w:ascii="Arial" w:hAnsi="Arial" w:eastAsia="等线" w:cs="Arial"/>
                <w:kern w:val="0"/>
                <w:sz w:val="20"/>
              </w:rPr>
            </w:pPr>
            <w:r>
              <w:rPr>
                <w:rFonts w:ascii="Arial" w:hAnsi="Arial" w:eastAsia="等线" w:cs="Arial"/>
                <w:kern w:val="0"/>
                <w:sz w:val="20"/>
              </w:rPr>
              <w:t>英语</w:t>
            </w:r>
          </w:p>
        </w:tc>
        <w:tc>
          <w:tcPr>
            <w:tcW w:w="121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108元/学分</w:t>
            </w:r>
          </w:p>
        </w:tc>
        <w:tc>
          <w:tcPr>
            <w:tcW w:w="1357"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按学分收费</w:t>
            </w:r>
          </w:p>
        </w:tc>
        <w:tc>
          <w:tcPr>
            <w:tcW w:w="49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业余</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2,3</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社会招生</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Arial" w:hAnsi="Arial" w:eastAsia="等线" w:cs="Arial"/>
                <w:kern w:val="0"/>
                <w:sz w:val="20"/>
              </w:rPr>
            </w:pPr>
            <w:r>
              <w:rPr>
                <w:rFonts w:ascii="Arial" w:hAnsi="Arial" w:eastAsia="等线" w:cs="Arial"/>
                <w:kern w:val="0"/>
                <w:sz w:val="20"/>
              </w:rPr>
              <w:t>89学分，总学费9600元</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tblPrEx>
          <w:tblLayout w:type="fixed"/>
          <w:tblCellMar>
            <w:top w:w="0" w:type="dxa"/>
            <w:left w:w="108" w:type="dxa"/>
            <w:bottom w:w="0" w:type="dxa"/>
            <w:right w:w="108" w:type="dxa"/>
          </w:tblCellMar>
        </w:tblPrEx>
        <w:trPr>
          <w:trHeight w:val="807" w:hRule="atLeast"/>
        </w:trPr>
        <w:tc>
          <w:tcPr>
            <w:tcW w:w="580"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kern w:val="0"/>
                <w:sz w:val="20"/>
              </w:rPr>
            </w:pPr>
          </w:p>
        </w:tc>
        <w:tc>
          <w:tcPr>
            <w:tcW w:w="1772" w:type="dxa"/>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kern w:val="0"/>
                <w:sz w:val="20"/>
              </w:rPr>
            </w:pPr>
          </w:p>
        </w:tc>
        <w:tc>
          <w:tcPr>
            <w:tcW w:w="11115" w:type="dxa"/>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Arial" w:hAnsi="Arial" w:eastAsia="等线" w:cs="Arial"/>
                <w:kern w:val="0"/>
                <w:sz w:val="20"/>
              </w:rPr>
            </w:pPr>
            <w:r>
              <w:rPr>
                <w:rFonts w:ascii="Arial" w:hAnsi="Arial" w:eastAsia="等线" w:cs="Arial"/>
                <w:kern w:val="0"/>
                <w:sz w:val="20"/>
              </w:rPr>
              <w:t>教学点名称及地点：1.静安计算机信息学院教学点:静安区康定路987号2-4层;2.金山浦江:金山区施三路8号101-112室;3.徐汇磐水:徐汇区龙漕路1弄7号3楼;4.本部:静安区原平路55号</w:t>
            </w:r>
            <w:r>
              <w:rPr>
                <w:rFonts w:hint="eastAsia" w:ascii="Arial" w:hAnsi="Arial" w:eastAsia="等线" w:cs="Arial"/>
                <w:kern w:val="0"/>
                <w:sz w:val="20"/>
                <w:lang w:val="en-US" w:eastAsia="zh-CN"/>
              </w:rPr>
              <w:t>5</w:t>
            </w:r>
            <w:r>
              <w:rPr>
                <w:rFonts w:ascii="Arial" w:hAnsi="Arial" w:eastAsia="等线" w:cs="Arial"/>
                <w:kern w:val="0"/>
                <w:sz w:val="20"/>
              </w:rPr>
              <w:t>号楼</w:t>
            </w:r>
            <w:r>
              <w:rPr>
                <w:rFonts w:hint="eastAsia" w:ascii="Arial" w:hAnsi="Arial" w:eastAsia="等线" w:cs="Arial"/>
                <w:kern w:val="0"/>
                <w:sz w:val="20"/>
                <w:lang w:val="en-US" w:eastAsia="zh-CN"/>
              </w:rPr>
              <w:t>5107</w:t>
            </w:r>
            <w:r>
              <w:rPr>
                <w:rFonts w:ascii="Arial" w:hAnsi="Arial" w:eastAsia="等线" w:cs="Arial"/>
                <w:kern w:val="0"/>
                <w:sz w:val="20"/>
              </w:rPr>
              <w:t>室;</w:t>
            </w:r>
          </w:p>
        </w:tc>
        <w:tc>
          <w:tcPr>
            <w:tcW w:w="70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bl>
    <w:p>
      <w:pPr>
        <w:rPr>
          <w:rFonts w:eastAsia="宋体"/>
          <w:b/>
          <w:bCs/>
        </w:rPr>
      </w:pPr>
    </w:p>
    <w:sectPr>
      <w:pgSz w:w="16838" w:h="11906" w:orient="landscape"/>
      <w:pgMar w:top="1134" w:right="1134" w:bottom="1134" w:left="1134" w:header="0" w:footer="0" w:gutter="0"/>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Liberation Sans">
    <w:altName w:val="微软雅黑"/>
    <w:panose1 w:val="00000000000000000000"/>
    <w:charset w:val="86"/>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08"/>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4A5"/>
    <w:rsid w:val="00003C70"/>
    <w:rsid w:val="0005488A"/>
    <w:rsid w:val="00096CE2"/>
    <w:rsid w:val="00150DBB"/>
    <w:rsid w:val="001C6E49"/>
    <w:rsid w:val="00267ACA"/>
    <w:rsid w:val="00273B24"/>
    <w:rsid w:val="002F1869"/>
    <w:rsid w:val="00325156"/>
    <w:rsid w:val="00392ADD"/>
    <w:rsid w:val="00411D7F"/>
    <w:rsid w:val="0042305D"/>
    <w:rsid w:val="00484331"/>
    <w:rsid w:val="00494D7D"/>
    <w:rsid w:val="004D7BA8"/>
    <w:rsid w:val="00510DC9"/>
    <w:rsid w:val="00516C73"/>
    <w:rsid w:val="005A024A"/>
    <w:rsid w:val="0065268C"/>
    <w:rsid w:val="0065393C"/>
    <w:rsid w:val="006A78B0"/>
    <w:rsid w:val="006F0C7E"/>
    <w:rsid w:val="0074744D"/>
    <w:rsid w:val="007C5449"/>
    <w:rsid w:val="007F0003"/>
    <w:rsid w:val="00896B7E"/>
    <w:rsid w:val="00914A5A"/>
    <w:rsid w:val="00941602"/>
    <w:rsid w:val="009B2D42"/>
    <w:rsid w:val="009F01ED"/>
    <w:rsid w:val="00B16C60"/>
    <w:rsid w:val="00BC4511"/>
    <w:rsid w:val="00BD0BD4"/>
    <w:rsid w:val="00C022FB"/>
    <w:rsid w:val="00C635D7"/>
    <w:rsid w:val="00D10B74"/>
    <w:rsid w:val="00D174A5"/>
    <w:rsid w:val="00D259EB"/>
    <w:rsid w:val="00D35DD7"/>
    <w:rsid w:val="00D36820"/>
    <w:rsid w:val="00D81689"/>
    <w:rsid w:val="00E2715B"/>
    <w:rsid w:val="00E45C9C"/>
    <w:rsid w:val="00F654F7"/>
    <w:rsid w:val="00F75ED4"/>
    <w:rsid w:val="00F848B2"/>
    <w:rsid w:val="00FF1D9A"/>
    <w:rsid w:val="340D01CC"/>
    <w:rsid w:val="4ABD301E"/>
    <w:rsid w:val="50476F3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uiPriority w:val="99"/>
    <w:pPr>
      <w:tabs>
        <w:tab w:val="center" w:pos="4153"/>
        <w:tab w:val="right" w:pos="8306"/>
      </w:tabs>
      <w:snapToGrid w:val="0"/>
      <w:jc w:val="center"/>
    </w:pPr>
    <w:rPr>
      <w:sz w:val="18"/>
      <w:szCs w:val="18"/>
    </w:rPr>
  </w:style>
  <w:style w:type="paragraph" w:styleId="6">
    <w:name w:val="List"/>
    <w:basedOn w:val="3"/>
    <w:qFormat/>
    <w:uiPriority w:val="0"/>
    <w:rPr>
      <w:rFonts w:cs="Arial"/>
    </w:rPr>
  </w:style>
  <w:style w:type="character" w:customStyle="1" w:styleId="9">
    <w:name w:val="ListLabel 1"/>
    <w:qFormat/>
    <w:uiPriority w:val="0"/>
    <w:rPr>
      <w:rFonts w:eastAsia="微软雅黑" w:cs="微软雅黑"/>
      <w:color w:val="333333"/>
      <w:spacing w:val="0"/>
      <w:w w:val="99"/>
      <w:sz w:val="24"/>
      <w:szCs w:val="26"/>
      <w:lang w:val="en-US" w:eastAsia="zh-CN" w:bidi="ar-SA"/>
    </w:rPr>
  </w:style>
  <w:style w:type="character" w:customStyle="1" w:styleId="10">
    <w:name w:val="ListLabel 2"/>
    <w:qFormat/>
    <w:uiPriority w:val="0"/>
    <w:rPr>
      <w:lang w:val="en-US" w:eastAsia="zh-CN" w:bidi="ar-SA"/>
    </w:rPr>
  </w:style>
  <w:style w:type="character" w:customStyle="1" w:styleId="11">
    <w:name w:val="ListLabel 3"/>
    <w:qFormat/>
    <w:uiPriority w:val="0"/>
    <w:rPr>
      <w:lang w:val="en-US" w:eastAsia="zh-CN" w:bidi="ar-SA"/>
    </w:rPr>
  </w:style>
  <w:style w:type="character" w:customStyle="1" w:styleId="12">
    <w:name w:val="ListLabel 4"/>
    <w:qFormat/>
    <w:uiPriority w:val="0"/>
    <w:rPr>
      <w:lang w:val="en-US" w:eastAsia="zh-CN" w:bidi="ar-SA"/>
    </w:rPr>
  </w:style>
  <w:style w:type="character" w:customStyle="1" w:styleId="13">
    <w:name w:val="ListLabel 5"/>
    <w:qFormat/>
    <w:uiPriority w:val="0"/>
    <w:rPr>
      <w:lang w:val="en-US" w:eastAsia="zh-CN" w:bidi="ar-SA"/>
    </w:rPr>
  </w:style>
  <w:style w:type="character" w:customStyle="1" w:styleId="14">
    <w:name w:val="ListLabel 6"/>
    <w:qFormat/>
    <w:uiPriority w:val="0"/>
    <w:rPr>
      <w:lang w:val="en-US" w:eastAsia="zh-CN" w:bidi="ar-SA"/>
    </w:rPr>
  </w:style>
  <w:style w:type="character" w:customStyle="1" w:styleId="15">
    <w:name w:val="ListLabel 7"/>
    <w:qFormat/>
    <w:uiPriority w:val="0"/>
    <w:rPr>
      <w:lang w:val="en-US" w:eastAsia="zh-CN" w:bidi="ar-SA"/>
    </w:rPr>
  </w:style>
  <w:style w:type="character" w:customStyle="1" w:styleId="16">
    <w:name w:val="ListLabel 8"/>
    <w:qFormat/>
    <w:uiPriority w:val="0"/>
    <w:rPr>
      <w:lang w:val="en-US" w:eastAsia="zh-CN" w:bidi="ar-SA"/>
    </w:rPr>
  </w:style>
  <w:style w:type="character" w:customStyle="1" w:styleId="17">
    <w:name w:val="ListLabel 9"/>
    <w:qFormat/>
    <w:uiPriority w:val="0"/>
    <w:rPr>
      <w:lang w:val="en-US" w:eastAsia="zh-CN" w:bidi="ar-SA"/>
    </w:rPr>
  </w:style>
  <w:style w:type="paragraph" w:customStyle="1" w:styleId="1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19">
    <w:name w:val="索引"/>
    <w:basedOn w:val="1"/>
    <w:qFormat/>
    <w:uiPriority w:val="0"/>
    <w:pPr>
      <w:suppressLineNumbers/>
    </w:pPr>
    <w:rPr>
      <w:rFonts w:cs="Arial"/>
    </w:rPr>
  </w:style>
  <w:style w:type="paragraph" w:styleId="20">
    <w:name w:val="List Paragraph"/>
    <w:basedOn w:val="1"/>
    <w:qFormat/>
    <w:uiPriority w:val="0"/>
    <w:pPr>
      <w:ind w:left="460" w:hanging="360"/>
    </w:pPr>
  </w:style>
  <w:style w:type="character" w:customStyle="1" w:styleId="21">
    <w:name w:val="页眉 字符"/>
    <w:basedOn w:val="8"/>
    <w:link w:val="5"/>
    <w:qFormat/>
    <w:uiPriority w:val="99"/>
    <w:rPr>
      <w:rFonts w:ascii="Times New Roman" w:hAnsi="Times New Roman" w:cs="Times New Roman"/>
      <w:kern w:val="2"/>
      <w:sz w:val="18"/>
      <w:szCs w:val="18"/>
      <w:lang w:bidi="ar-SA"/>
    </w:rPr>
  </w:style>
  <w:style w:type="character" w:customStyle="1" w:styleId="22">
    <w:name w:val="页脚 字符"/>
    <w:basedOn w:val="8"/>
    <w:link w:val="4"/>
    <w:uiPriority w:val="99"/>
    <w:rPr>
      <w:rFonts w:ascii="Times New Roman" w:hAnsi="Times New Roman" w:cs="Times New Roman"/>
      <w:kern w:val="2"/>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382</Words>
  <Characters>2181</Characters>
  <Lines>18</Lines>
  <Paragraphs>5</Paragraphs>
  <TotalTime>5</TotalTime>
  <ScaleCrop>false</ScaleCrop>
  <LinksUpToDate>false</LinksUpToDate>
  <CharactersWithSpaces>2558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2024-06-19T02:10:00Z</dcterms:created>
  <dc:creator>俞冶论</dc:creator>
  <cp:lastModifiedBy>kikik</cp:lastModifiedBy>
  <dcterms:modified xsi:type="dcterms:W3CDTF">2025-08-13T03:38:46Z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D0B57084D48E4F1E9D7A8CBC4766E78D</vt:lpwstr>
  </property>
  <property fmtid="{D5CDD505-2E9C-101B-9397-08002B2CF9AE}" pid="4" name="KSOProductBuildVer">
    <vt:lpwstr>2052-11.8.2.8506</vt:lpwstr>
  </property>
  <property fmtid="{D5CDD505-2E9C-101B-9397-08002B2CF9AE}" pid="5" name="LinksUpToDate">
    <vt:bool>false</vt:bool>
  </property>
  <property fmtid="{D5CDD505-2E9C-101B-9397-08002B2CF9AE}" pid="6" name="ScaleCrop">
    <vt:bool>false</vt:bool>
  </property>
</Properties>
</file>